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65" w:rsidRDefault="001C649A">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-47625</wp:posOffset>
                </wp:positionV>
                <wp:extent cx="6191250" cy="2114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91250" cy="21145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99CC0" id="Rectangle 1" o:spid="_x0000_s1026" style="position:absolute;margin-left:-8.25pt;margin-top:-3.75pt;width:487.5pt;height:1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" filled="f" strokecolor="red" strokeweight="2pt"/>
            </w:pict>
          </mc:Fallback>
        </mc:AlternateContent>
      </w:r>
      <w:r w:rsidR="001707A8">
        <w:t>EDITORIAL – Not for publication</w:t>
      </w:r>
    </w:p>
    <w:p w:rsidR="001C649A" w:rsidRDefault="001707A8" w:rsidP="001C649A">
      <w:pPr>
        <w:widowControl w:val="0"/>
        <w:autoSpaceDE w:val="0"/>
        <w:autoSpaceDN w:val="0"/>
        <w:adjustRightInd w:val="0"/>
        <w:spacing w:after="120"/>
      </w:pPr>
      <w:r>
        <w:t>Record 18-1494 added</w:t>
      </w:r>
      <w:r w:rsidR="001C649A" w:rsidRPr="001C649A">
        <w:t xml:space="preserve"> International Professional Engineers Agreement</w:t>
      </w:r>
      <w:r w:rsidR="001C649A" w:rsidRPr="001C649A">
        <w:rPr>
          <w:vertAlign w:val="superscript"/>
        </w:rPr>
        <w:t xml:space="preserve">22 </w:t>
      </w:r>
      <w:r w:rsidR="001C649A">
        <w:rPr>
          <w:vertAlign w:val="superscript"/>
        </w:rPr>
        <w:t>(</w:t>
      </w:r>
      <w:r w:rsidR="001C649A" w:rsidRPr="001C649A">
        <w:t>IPEA</w:t>
      </w:r>
      <w:r w:rsidR="001C649A">
        <w:t xml:space="preserve">), </w:t>
      </w:r>
      <w:r w:rsidR="001C649A" w:rsidRPr="001C649A">
        <w:t>Asia Pacific Economic Cooperation</w:t>
      </w:r>
      <w:r w:rsidR="001C649A" w:rsidRPr="001C649A">
        <w:rPr>
          <w:vertAlign w:val="superscript"/>
        </w:rPr>
        <w:t xml:space="preserve">23 </w:t>
      </w:r>
      <w:r w:rsidR="001C649A">
        <w:t>(</w:t>
      </w:r>
      <w:r w:rsidR="001C649A" w:rsidRPr="001C649A">
        <w:t>APEC,</w:t>
      </w:r>
      <w:r w:rsidR="001C649A">
        <w:t xml:space="preserve">) and </w:t>
      </w:r>
      <w:r w:rsidR="001C649A" w:rsidRPr="001C649A">
        <w:t>European Federation of National Engineering Associations</w:t>
      </w:r>
      <w:r w:rsidR="001C649A" w:rsidRPr="001C649A">
        <w:rPr>
          <w:vertAlign w:val="superscript"/>
        </w:rPr>
        <w:t>24</w:t>
      </w:r>
      <w:r w:rsidR="001C649A" w:rsidRPr="001C649A">
        <w:t xml:space="preserve"> </w:t>
      </w:r>
      <w:r w:rsidR="001C649A">
        <w:t xml:space="preserve">(FEANI) to Mandatory Appendix XXIII-1223 as organizations which are recognized for Certification of Certifying Engineers.  Each also has an </w:t>
      </w:r>
      <w:proofErr w:type="gramStart"/>
      <w:r w:rsidR="001C649A">
        <w:t>endnote which</w:t>
      </w:r>
      <w:proofErr w:type="gramEnd"/>
      <w:r w:rsidR="001C649A">
        <w:t xml:space="preserve"> describes the organization.</w:t>
      </w:r>
    </w:p>
    <w:p w:rsidR="001707A8" w:rsidRDefault="001C649A" w:rsidP="001C649A">
      <w:pPr>
        <w:widowControl w:val="0"/>
        <w:autoSpaceDE w:val="0"/>
        <w:autoSpaceDN w:val="0"/>
        <w:adjustRightInd w:val="0"/>
        <w:spacing w:after="120"/>
      </w:pPr>
      <w:r>
        <w:t xml:space="preserve">This record responds to comments asking for organization URL internet </w:t>
      </w:r>
      <w:r w:rsidR="001707A8">
        <w:t xml:space="preserve">addresses </w:t>
      </w:r>
      <w:r>
        <w:t>be added to the endnotes for the organizations.</w:t>
      </w:r>
    </w:p>
    <w:p w:rsidR="001C649A" w:rsidRDefault="001C649A" w:rsidP="001C649A">
      <w:pPr>
        <w:widowControl w:val="0"/>
        <w:autoSpaceDE w:val="0"/>
        <w:autoSpaceDN w:val="0"/>
        <w:adjustRightInd w:val="0"/>
        <w:spacing w:after="120"/>
      </w:pPr>
      <w:r>
        <w:t>Endnotes listed in this proposal are the endnotes as shown in the proposal with the exception that endnote 1 for the Washington Accord is as shown in the 2019 Edition endnotes.</w:t>
      </w:r>
    </w:p>
    <w:p w:rsidR="001707A8" w:rsidRDefault="001707A8"/>
    <w:p w:rsidR="001707A8" w:rsidRPr="001C649A" w:rsidRDefault="001C649A">
      <w:pPr>
        <w:rPr>
          <w:color w:val="FF0000"/>
        </w:rPr>
      </w:pPr>
      <w:r w:rsidRPr="001C649A">
        <w:rPr>
          <w:color w:val="FF0000"/>
        </w:rPr>
        <w:t>Add last sentence to each of the below endnotes</w:t>
      </w:r>
    </w:p>
    <w:p w:rsidR="009133F5" w:rsidRPr="009133F5" w:rsidRDefault="001707A8" w:rsidP="009133F5">
      <w:pPr>
        <w:shd w:val="clear" w:color="auto" w:fill="FFFFFF"/>
        <w:rPr>
          <w:rFonts w:eastAsia="Times New Roman" w:cs="Arial"/>
          <w:color w:val="660099"/>
        </w:rPr>
      </w:pPr>
      <w:r>
        <w:t xml:space="preserve">1 The Washington Accord is a self-governing, autonomous agreement between national organizations (signatories) that provide external accreditation to tertiary educational programs that qualify their graduates for entry into professional engineering practice. The signatories undertake a </w:t>
      </w:r>
      <w:proofErr w:type="gramStart"/>
      <w:r>
        <w:t>clearly-defined</w:t>
      </w:r>
      <w:proofErr w:type="gramEnd"/>
      <w:r>
        <w:t xml:space="preserve"> process of periodic peer review to ensure each other’s accredited programs are substantially equivalent and their outcomes are consistent with the published professional engineer graduate attribute exemplar. The jurisdictional signatories to the 1989 Washington Accord were Engineers Australia, Engineers Canada, Engineers Ireland, Institution of Professional Engineers New Zealand, Engineering Council United Kingdom, and United States Accreditation Board for Engineers and Technology.</w:t>
      </w:r>
      <w:r w:rsidR="009133F5">
        <w:t xml:space="preserve">  </w:t>
      </w:r>
      <w:r w:rsidR="009133F5" w:rsidRPr="009133F5">
        <w:rPr>
          <w:rStyle w:val="Hyperlink"/>
          <w:rFonts w:eastAsia="Times New Roman" w:cs="Arial"/>
        </w:rPr>
        <w:t>(</w:t>
      </w:r>
      <w:r w:rsidR="009133F5" w:rsidRPr="009133F5">
        <w:rPr>
          <w:rFonts w:eastAsia="Times New Roman" w:cs="Arial"/>
          <w:color w:val="006621"/>
        </w:rPr>
        <w:fldChar w:fldCharType="begin"/>
      </w:r>
      <w:r w:rsidR="009133F5" w:rsidRPr="009133F5">
        <w:rPr>
          <w:rFonts w:eastAsia="Times New Roman" w:cs="Arial"/>
          <w:color w:val="006621"/>
        </w:rPr>
        <w:instrText xml:space="preserve"> HYPERLINK "https://www.ieagreements.org › accords › washington)</w:instrText>
      </w:r>
    </w:p>
    <w:p w:rsidR="009133F5" w:rsidRPr="009133F5" w:rsidRDefault="009133F5" w:rsidP="009133F5">
      <w:pPr>
        <w:shd w:val="clear" w:color="auto" w:fill="FFFFFF"/>
        <w:rPr>
          <w:rStyle w:val="Hyperlink"/>
          <w:rFonts w:eastAsia="Times New Roman" w:cs="Arial"/>
        </w:rPr>
      </w:pPr>
      <w:r w:rsidRPr="009133F5">
        <w:rPr>
          <w:rFonts w:eastAsia="Times New Roman" w:cs="Arial"/>
          <w:color w:val="006621"/>
        </w:rPr>
        <w:instrText xml:space="preserve">" </w:instrText>
      </w:r>
      <w:r w:rsidRPr="009133F5">
        <w:rPr>
          <w:rFonts w:eastAsia="Times New Roman" w:cs="Arial"/>
          <w:color w:val="006621"/>
        </w:rPr>
        <w:fldChar w:fldCharType="separate"/>
      </w:r>
      <w:r w:rsidRPr="009133F5">
        <w:rPr>
          <w:rStyle w:val="Hyperlink"/>
          <w:rFonts w:eastAsia="Times New Roman" w:cs="Arial"/>
        </w:rPr>
        <w:t xml:space="preserve">https://www.ieagreements.org › accords › </w:t>
      </w:r>
      <w:proofErr w:type="spellStart"/>
      <w:r w:rsidRPr="009133F5">
        <w:rPr>
          <w:rStyle w:val="Hyperlink"/>
          <w:rFonts w:eastAsia="Times New Roman" w:cs="Arial"/>
        </w:rPr>
        <w:t>washington</w:t>
      </w:r>
      <w:proofErr w:type="spellEnd"/>
      <w:r w:rsidRPr="009133F5">
        <w:rPr>
          <w:rStyle w:val="Hyperlink"/>
          <w:rFonts w:eastAsia="Times New Roman" w:cs="Arial"/>
        </w:rPr>
        <w:t>)</w:t>
      </w:r>
    </w:p>
    <w:p w:rsidR="009133F5" w:rsidRPr="009133F5" w:rsidRDefault="009133F5" w:rsidP="009133F5">
      <w:pPr>
        <w:shd w:val="clear" w:color="auto" w:fill="FFFFFF"/>
        <w:spacing w:after="0" w:line="240" w:lineRule="auto"/>
        <w:rPr>
          <w:rFonts w:ascii="Arial" w:eastAsia="Times New Roman" w:hAnsi="Arial" w:cs="Arial"/>
          <w:color w:val="222222"/>
          <w:sz w:val="24"/>
          <w:szCs w:val="24"/>
        </w:rPr>
      </w:pPr>
      <w:r w:rsidRPr="009133F5">
        <w:rPr>
          <w:rFonts w:eastAsia="Times New Roman" w:cs="Arial"/>
          <w:color w:val="006621"/>
        </w:rPr>
        <w:fldChar w:fldCharType="end"/>
      </w:r>
    </w:p>
    <w:p w:rsidR="009133F5" w:rsidRPr="009133F5" w:rsidRDefault="001C649A" w:rsidP="009133F5">
      <w:pPr>
        <w:shd w:val="clear" w:color="auto" w:fill="FFFFFF"/>
        <w:rPr>
          <w:rFonts w:eastAsia="Times New Roman" w:cs="Arial"/>
          <w:color w:val="006621"/>
        </w:rPr>
      </w:pPr>
      <w:r w:rsidRPr="001C649A">
        <w:t xml:space="preserve">22 – The IPEA, formerly known as the Engineering Mobility Forum, is a multi-national agreement between engineering organizations in the member </w:t>
      </w:r>
      <w:proofErr w:type="gramStart"/>
      <w:r w:rsidRPr="001C649A">
        <w:t>jurisdictions which</w:t>
      </w:r>
      <w:proofErr w:type="gramEnd"/>
      <w:r w:rsidRPr="001C649A">
        <w:t xml:space="preserve"> creates the framework for the establishment of an international standard of competence for professional engineering.  Membership includes full Signatory privileges as well as provisional privileges for member organizations who are working to establish the necessary professional competence requirements within their jurisdiction with an end of becoming full Signatory members</w:t>
      </w:r>
      <w:r w:rsidRPr="009133F5">
        <w:t>.</w:t>
      </w:r>
      <w:r w:rsidR="009133F5" w:rsidRPr="009133F5">
        <w:t xml:space="preserve">  </w:t>
      </w:r>
      <w:r w:rsidR="009133F5" w:rsidRPr="009133F5">
        <w:rPr>
          <w:rStyle w:val="Hyperlink"/>
          <w:rFonts w:eastAsia="Times New Roman" w:cs="Arial"/>
        </w:rPr>
        <w:t>(</w:t>
      </w:r>
      <w:r w:rsidR="009133F5" w:rsidRPr="009133F5">
        <w:rPr>
          <w:rFonts w:eastAsia="Times New Roman" w:cs="Arial"/>
          <w:color w:val="006621"/>
        </w:rPr>
        <w:fldChar w:fldCharType="begin"/>
      </w:r>
      <w:r w:rsidR="009133F5" w:rsidRPr="009133F5">
        <w:rPr>
          <w:rFonts w:eastAsia="Times New Roman" w:cs="Arial"/>
          <w:color w:val="006621"/>
        </w:rPr>
        <w:instrText xml:space="preserve"> HYPERLINK "https://www.ieagreements.org › agreements › ipea)</w:instrText>
      </w:r>
    </w:p>
    <w:p w:rsidR="009133F5" w:rsidRPr="009133F5" w:rsidRDefault="009133F5" w:rsidP="009133F5">
      <w:pPr>
        <w:shd w:val="clear" w:color="auto" w:fill="FFFFFF"/>
        <w:rPr>
          <w:rStyle w:val="Hyperlink"/>
          <w:rFonts w:eastAsia="Times New Roman" w:cs="Arial"/>
        </w:rPr>
      </w:pPr>
      <w:r w:rsidRPr="009133F5">
        <w:rPr>
          <w:rFonts w:eastAsia="Times New Roman" w:cs="Arial"/>
          <w:color w:val="006621"/>
        </w:rPr>
        <w:instrText xml:space="preserve">" </w:instrText>
      </w:r>
      <w:r w:rsidRPr="009133F5">
        <w:rPr>
          <w:rFonts w:eastAsia="Times New Roman" w:cs="Arial"/>
          <w:color w:val="006621"/>
        </w:rPr>
        <w:fldChar w:fldCharType="separate"/>
      </w:r>
      <w:r w:rsidRPr="009133F5">
        <w:rPr>
          <w:rStyle w:val="Hyperlink"/>
          <w:rFonts w:eastAsia="Times New Roman" w:cs="Arial"/>
        </w:rPr>
        <w:t xml:space="preserve">https://www.ieagreements.org › agreements › </w:t>
      </w:r>
      <w:proofErr w:type="spellStart"/>
      <w:r w:rsidRPr="009133F5">
        <w:rPr>
          <w:rStyle w:val="Hyperlink"/>
          <w:rFonts w:eastAsia="Times New Roman" w:cs="Arial"/>
        </w:rPr>
        <w:t>ipea</w:t>
      </w:r>
      <w:proofErr w:type="spellEnd"/>
      <w:r w:rsidRPr="009133F5">
        <w:rPr>
          <w:rStyle w:val="Hyperlink"/>
          <w:rFonts w:eastAsia="Times New Roman" w:cs="Arial"/>
        </w:rPr>
        <w:t>)</w:t>
      </w:r>
    </w:p>
    <w:p w:rsidR="00B445B3" w:rsidRPr="001C649A" w:rsidRDefault="009133F5" w:rsidP="009133F5">
      <w:pPr>
        <w:shd w:val="clear" w:color="auto" w:fill="FFFFFF"/>
        <w:spacing w:after="0" w:line="240" w:lineRule="auto"/>
      </w:pPr>
      <w:r w:rsidRPr="009133F5">
        <w:rPr>
          <w:rFonts w:eastAsia="Times New Roman" w:cs="Arial"/>
          <w:color w:val="006621"/>
        </w:rPr>
        <w:fldChar w:fldCharType="end"/>
      </w:r>
    </w:p>
    <w:p w:rsidR="009133F5" w:rsidRPr="009133F5" w:rsidRDefault="001C649A" w:rsidP="009133F5">
      <w:pPr>
        <w:shd w:val="clear" w:color="auto" w:fill="FFFFFF"/>
        <w:rPr>
          <w:rFonts w:eastAsia="Times New Roman" w:cs="Arial"/>
          <w:color w:val="660099"/>
        </w:rPr>
      </w:pPr>
      <w:r w:rsidRPr="001C649A">
        <w:t xml:space="preserve">23 – The APEC is an agreement between Asia Pacific countries for the purposes of recognizing “substantial equivalence” of professional competence in engineering. Membership is open to Asia Pacific </w:t>
      </w:r>
      <w:proofErr w:type="gramStart"/>
      <w:r w:rsidRPr="001C649A">
        <w:t>countries which</w:t>
      </w:r>
      <w:proofErr w:type="gramEnd"/>
      <w:r w:rsidRPr="001C649A">
        <w:t xml:space="preserve"> can demonstrate they have in place systems which allow the competence of engineers to be assessed to the agreed international standard set by the APEC Engineer agreement.</w:t>
      </w:r>
      <w:r w:rsidR="009133F5">
        <w:t xml:space="preserve">  </w:t>
      </w:r>
      <w:r w:rsidR="009133F5" w:rsidRPr="009133F5">
        <w:rPr>
          <w:rFonts w:eastAsia="Times New Roman" w:cs="Arial"/>
          <w:color w:val="660099"/>
        </w:rPr>
        <w:fldChar w:fldCharType="begin"/>
      </w:r>
      <w:r w:rsidR="009133F5" w:rsidRPr="009133F5">
        <w:rPr>
          <w:rFonts w:eastAsia="Times New Roman" w:cs="Arial"/>
          <w:color w:val="660099"/>
        </w:rPr>
        <w:instrText xml:space="preserve"> HYPERLINK "(https://www.apec.org)</w:instrText>
      </w:r>
    </w:p>
    <w:p w:rsidR="009133F5" w:rsidRPr="009133F5" w:rsidRDefault="009133F5" w:rsidP="009133F5">
      <w:pPr>
        <w:shd w:val="clear" w:color="auto" w:fill="FFFFFF"/>
        <w:rPr>
          <w:rStyle w:val="Hyperlink"/>
          <w:rFonts w:eastAsia="Times New Roman" w:cs="Arial"/>
        </w:rPr>
      </w:pPr>
      <w:r w:rsidRPr="009133F5">
        <w:rPr>
          <w:rFonts w:eastAsia="Times New Roman" w:cs="Arial"/>
          <w:color w:val="660099"/>
        </w:rPr>
        <w:instrText xml:space="preserve">" </w:instrText>
      </w:r>
      <w:r w:rsidRPr="009133F5">
        <w:rPr>
          <w:rFonts w:eastAsia="Times New Roman" w:cs="Arial"/>
          <w:color w:val="660099"/>
        </w:rPr>
        <w:fldChar w:fldCharType="separate"/>
      </w:r>
      <w:r w:rsidRPr="009133F5">
        <w:rPr>
          <w:rStyle w:val="Hyperlink"/>
          <w:rFonts w:eastAsia="Times New Roman" w:cs="Arial"/>
        </w:rPr>
        <w:t>(https://www.apec.org)</w:t>
      </w:r>
    </w:p>
    <w:p w:rsidR="009133F5" w:rsidRPr="009133F5" w:rsidRDefault="009133F5" w:rsidP="009133F5">
      <w:pPr>
        <w:shd w:val="clear" w:color="auto" w:fill="FFFFFF"/>
        <w:spacing w:after="0" w:line="240" w:lineRule="auto"/>
        <w:rPr>
          <w:rFonts w:ascii="Arial" w:eastAsia="Times New Roman" w:hAnsi="Arial" w:cs="Arial"/>
          <w:color w:val="222222"/>
          <w:sz w:val="24"/>
          <w:szCs w:val="24"/>
        </w:rPr>
      </w:pPr>
      <w:r w:rsidRPr="009133F5">
        <w:rPr>
          <w:rFonts w:eastAsia="Times New Roman" w:cs="Arial"/>
          <w:color w:val="660099"/>
        </w:rPr>
        <w:fldChar w:fldCharType="end"/>
      </w:r>
    </w:p>
    <w:p w:rsidR="009133F5" w:rsidRPr="009133F5" w:rsidRDefault="001C649A" w:rsidP="009133F5">
      <w:pPr>
        <w:shd w:val="clear" w:color="auto" w:fill="FFFFFF"/>
        <w:rPr>
          <w:rFonts w:eastAsia="Times New Roman" w:cs="Arial"/>
          <w:color w:val="660099"/>
        </w:rPr>
      </w:pPr>
      <w:r w:rsidRPr="001C649A">
        <w:t xml:space="preserve">24 – FEANI is an </w:t>
      </w:r>
      <w:proofErr w:type="gramStart"/>
      <w:r w:rsidRPr="001C649A">
        <w:t>organization which</w:t>
      </w:r>
      <w:proofErr w:type="gramEnd"/>
      <w:r w:rsidRPr="001C649A">
        <w:t xml:space="preserve"> represents 350 national engineering associations, recognized within their countries as representatives of the engineering p</w:t>
      </w:r>
      <w:r w:rsidR="00B445B3">
        <w:t>rofession at the national level</w:t>
      </w:r>
      <w:r w:rsidRPr="001C649A">
        <w:t xml:space="preserve"> within the 33 country European Higher Education Area (EHEA).  Recognition of countries outside the European Higher Education Area is through membership in the World Federation of Engineering Organizations (WFEO).</w:t>
      </w:r>
      <w:r w:rsidR="009133F5">
        <w:t xml:space="preserve">  </w:t>
      </w:r>
      <w:r w:rsidR="009133F5" w:rsidRPr="009133F5">
        <w:rPr>
          <w:rFonts w:eastAsia="Times New Roman" w:cs="Arial"/>
          <w:color w:val="006621"/>
        </w:rPr>
        <w:fldChar w:fldCharType="begin"/>
      </w:r>
      <w:r w:rsidR="009133F5" w:rsidRPr="009133F5">
        <w:rPr>
          <w:rFonts w:eastAsia="Times New Roman" w:cs="Arial"/>
          <w:color w:val="006621"/>
        </w:rPr>
        <w:instrText xml:space="preserve"> HYPERLINK "(https://www.feani.org)</w:instrText>
      </w:r>
    </w:p>
    <w:p w:rsidR="009133F5" w:rsidRPr="009133F5" w:rsidRDefault="009133F5" w:rsidP="009133F5">
      <w:pPr>
        <w:shd w:val="clear" w:color="auto" w:fill="FFFFFF"/>
        <w:rPr>
          <w:rStyle w:val="Hyperlink"/>
          <w:rFonts w:eastAsia="Times New Roman" w:cs="Arial"/>
        </w:rPr>
      </w:pPr>
      <w:r w:rsidRPr="009133F5">
        <w:rPr>
          <w:rFonts w:eastAsia="Times New Roman" w:cs="Arial"/>
          <w:color w:val="006621"/>
        </w:rPr>
        <w:instrText xml:space="preserve">" </w:instrText>
      </w:r>
      <w:r w:rsidRPr="009133F5">
        <w:rPr>
          <w:rFonts w:eastAsia="Times New Roman" w:cs="Arial"/>
          <w:color w:val="006621"/>
        </w:rPr>
        <w:fldChar w:fldCharType="separate"/>
      </w:r>
      <w:r w:rsidRPr="009133F5">
        <w:rPr>
          <w:rStyle w:val="Hyperlink"/>
          <w:rFonts w:eastAsia="Times New Roman" w:cs="Arial"/>
        </w:rPr>
        <w:t>(https://www.feani.org)</w:t>
      </w:r>
    </w:p>
    <w:p w:rsidR="001C649A" w:rsidRPr="009133F5" w:rsidRDefault="009133F5" w:rsidP="009133F5">
      <w:pPr>
        <w:shd w:val="clear" w:color="auto" w:fill="FFFFFF"/>
        <w:spacing w:after="0" w:line="240" w:lineRule="auto"/>
        <w:rPr>
          <w:rFonts w:ascii="Arial" w:eastAsia="Times New Roman" w:hAnsi="Arial" w:cs="Arial"/>
          <w:color w:val="222222"/>
          <w:sz w:val="24"/>
          <w:szCs w:val="24"/>
        </w:rPr>
      </w:pPr>
      <w:r w:rsidRPr="009133F5">
        <w:rPr>
          <w:rFonts w:eastAsia="Times New Roman" w:cs="Arial"/>
          <w:color w:val="006621"/>
        </w:rPr>
        <w:fldChar w:fldCharType="end"/>
      </w:r>
    </w:p>
    <w:p w:rsidR="001C649A" w:rsidRDefault="001C649A">
      <w:bookmarkStart w:id="0" w:name="_GoBack"/>
      <w:bookmarkEnd w:id="0"/>
    </w:p>
    <w:sectPr w:rsidR="001C649A" w:rsidSect="009133F5">
      <w:headerReference w:type="default" r:id="rId7"/>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A8" w:rsidRDefault="001707A8" w:rsidP="001707A8">
      <w:pPr>
        <w:spacing w:after="0" w:line="240" w:lineRule="auto"/>
      </w:pPr>
      <w:r>
        <w:separator/>
      </w:r>
    </w:p>
  </w:endnote>
  <w:endnote w:type="continuationSeparator" w:id="0">
    <w:p w:rsidR="001707A8" w:rsidRDefault="001707A8" w:rsidP="0017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A8" w:rsidRDefault="001707A8" w:rsidP="001707A8">
      <w:pPr>
        <w:spacing w:after="0" w:line="240" w:lineRule="auto"/>
      </w:pPr>
      <w:r>
        <w:separator/>
      </w:r>
    </w:p>
  </w:footnote>
  <w:footnote w:type="continuationSeparator" w:id="0">
    <w:p w:rsidR="001707A8" w:rsidRDefault="001707A8" w:rsidP="0017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A8" w:rsidRPr="001707A8" w:rsidRDefault="001707A8">
    <w:pPr>
      <w:pStyle w:val="Header"/>
      <w:rPr>
        <w:color w:val="FF0000"/>
        <w:sz w:val="28"/>
        <w:szCs w:val="28"/>
      </w:rPr>
    </w:pPr>
    <w:r>
      <w:rPr>
        <w:color w:val="FF0000"/>
        <w:sz w:val="28"/>
        <w:szCs w:val="28"/>
      </w:rPr>
      <w:t>Record 19-2551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74AB"/>
    <w:multiLevelType w:val="multilevel"/>
    <w:tmpl w:val="16B8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F65CC"/>
    <w:multiLevelType w:val="multilevel"/>
    <w:tmpl w:val="42D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93744"/>
    <w:multiLevelType w:val="multilevel"/>
    <w:tmpl w:val="EA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554FB"/>
    <w:multiLevelType w:val="multilevel"/>
    <w:tmpl w:val="C5E2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40759"/>
    <w:multiLevelType w:val="hybridMultilevel"/>
    <w:tmpl w:val="3528A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A8"/>
    <w:rsid w:val="001707A8"/>
    <w:rsid w:val="001C649A"/>
    <w:rsid w:val="009133F5"/>
    <w:rsid w:val="00B445B3"/>
    <w:rsid w:val="00DA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978D"/>
  <w15:chartTrackingRefBased/>
  <w15:docId w15:val="{EC6A5A01-841D-49A3-9EB2-3F3DF509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33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A8"/>
  </w:style>
  <w:style w:type="paragraph" w:styleId="Footer">
    <w:name w:val="footer"/>
    <w:basedOn w:val="Normal"/>
    <w:link w:val="FooterChar"/>
    <w:uiPriority w:val="99"/>
    <w:unhideWhenUsed/>
    <w:rsid w:val="0017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A8"/>
  </w:style>
  <w:style w:type="paragraph" w:styleId="ListParagraph">
    <w:name w:val="List Paragraph"/>
    <w:basedOn w:val="Normal"/>
    <w:uiPriority w:val="34"/>
    <w:qFormat/>
    <w:rsid w:val="001C649A"/>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uiPriority w:val="9"/>
    <w:rsid w:val="009133F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133F5"/>
    <w:rPr>
      <w:color w:val="0000FF"/>
      <w:u w:val="single"/>
    </w:rPr>
  </w:style>
  <w:style w:type="character" w:styleId="HTMLCite">
    <w:name w:val="HTML Cite"/>
    <w:basedOn w:val="DefaultParagraphFont"/>
    <w:uiPriority w:val="99"/>
    <w:semiHidden/>
    <w:unhideWhenUsed/>
    <w:rsid w:val="00913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953">
      <w:bodyDiv w:val="1"/>
      <w:marLeft w:val="0"/>
      <w:marRight w:val="0"/>
      <w:marTop w:val="0"/>
      <w:marBottom w:val="0"/>
      <w:divBdr>
        <w:top w:val="none" w:sz="0" w:space="0" w:color="auto"/>
        <w:left w:val="none" w:sz="0" w:space="0" w:color="auto"/>
        <w:bottom w:val="none" w:sz="0" w:space="0" w:color="auto"/>
        <w:right w:val="none" w:sz="0" w:space="0" w:color="auto"/>
      </w:divBdr>
      <w:divsChild>
        <w:div w:id="290136531">
          <w:marLeft w:val="0"/>
          <w:marRight w:val="0"/>
          <w:marTop w:val="0"/>
          <w:marBottom w:val="0"/>
          <w:divBdr>
            <w:top w:val="none" w:sz="0" w:space="0" w:color="auto"/>
            <w:left w:val="none" w:sz="0" w:space="0" w:color="auto"/>
            <w:bottom w:val="none" w:sz="0" w:space="0" w:color="auto"/>
            <w:right w:val="none" w:sz="0" w:space="0" w:color="auto"/>
          </w:divBdr>
        </w:div>
        <w:div w:id="314527946">
          <w:marLeft w:val="45"/>
          <w:marRight w:val="45"/>
          <w:marTop w:val="15"/>
          <w:marBottom w:val="0"/>
          <w:divBdr>
            <w:top w:val="none" w:sz="0" w:space="0" w:color="auto"/>
            <w:left w:val="none" w:sz="0" w:space="0" w:color="auto"/>
            <w:bottom w:val="none" w:sz="0" w:space="0" w:color="auto"/>
            <w:right w:val="none" w:sz="0" w:space="0" w:color="auto"/>
          </w:divBdr>
          <w:divsChild>
            <w:div w:id="17157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3767">
      <w:bodyDiv w:val="1"/>
      <w:marLeft w:val="0"/>
      <w:marRight w:val="0"/>
      <w:marTop w:val="0"/>
      <w:marBottom w:val="0"/>
      <w:divBdr>
        <w:top w:val="none" w:sz="0" w:space="0" w:color="auto"/>
        <w:left w:val="none" w:sz="0" w:space="0" w:color="auto"/>
        <w:bottom w:val="none" w:sz="0" w:space="0" w:color="auto"/>
        <w:right w:val="none" w:sz="0" w:space="0" w:color="auto"/>
      </w:divBdr>
    </w:div>
    <w:div w:id="206338723">
      <w:bodyDiv w:val="1"/>
      <w:marLeft w:val="0"/>
      <w:marRight w:val="0"/>
      <w:marTop w:val="0"/>
      <w:marBottom w:val="0"/>
      <w:divBdr>
        <w:top w:val="none" w:sz="0" w:space="0" w:color="auto"/>
        <w:left w:val="none" w:sz="0" w:space="0" w:color="auto"/>
        <w:bottom w:val="none" w:sz="0" w:space="0" w:color="auto"/>
        <w:right w:val="none" w:sz="0" w:space="0" w:color="auto"/>
      </w:divBdr>
      <w:divsChild>
        <w:div w:id="659308273">
          <w:marLeft w:val="0"/>
          <w:marRight w:val="0"/>
          <w:marTop w:val="0"/>
          <w:marBottom w:val="0"/>
          <w:divBdr>
            <w:top w:val="none" w:sz="0" w:space="0" w:color="auto"/>
            <w:left w:val="none" w:sz="0" w:space="0" w:color="auto"/>
            <w:bottom w:val="none" w:sz="0" w:space="0" w:color="auto"/>
            <w:right w:val="none" w:sz="0" w:space="0" w:color="auto"/>
          </w:divBdr>
        </w:div>
        <w:div w:id="1939675989">
          <w:marLeft w:val="45"/>
          <w:marRight w:val="45"/>
          <w:marTop w:val="15"/>
          <w:marBottom w:val="0"/>
          <w:divBdr>
            <w:top w:val="none" w:sz="0" w:space="0" w:color="auto"/>
            <w:left w:val="none" w:sz="0" w:space="0" w:color="auto"/>
            <w:bottom w:val="none" w:sz="0" w:space="0" w:color="auto"/>
            <w:right w:val="none" w:sz="0" w:space="0" w:color="auto"/>
          </w:divBdr>
          <w:divsChild>
            <w:div w:id="1632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358">
      <w:bodyDiv w:val="1"/>
      <w:marLeft w:val="0"/>
      <w:marRight w:val="0"/>
      <w:marTop w:val="0"/>
      <w:marBottom w:val="0"/>
      <w:divBdr>
        <w:top w:val="none" w:sz="0" w:space="0" w:color="auto"/>
        <w:left w:val="none" w:sz="0" w:space="0" w:color="auto"/>
        <w:bottom w:val="none" w:sz="0" w:space="0" w:color="auto"/>
        <w:right w:val="none" w:sz="0" w:space="0" w:color="auto"/>
      </w:divBdr>
    </w:div>
    <w:div w:id="1623725715">
      <w:bodyDiv w:val="1"/>
      <w:marLeft w:val="0"/>
      <w:marRight w:val="0"/>
      <w:marTop w:val="0"/>
      <w:marBottom w:val="0"/>
      <w:divBdr>
        <w:top w:val="none" w:sz="0" w:space="0" w:color="auto"/>
        <w:left w:val="none" w:sz="0" w:space="0" w:color="auto"/>
        <w:bottom w:val="none" w:sz="0" w:space="0" w:color="auto"/>
        <w:right w:val="none" w:sz="0" w:space="0" w:color="auto"/>
      </w:divBdr>
      <w:divsChild>
        <w:div w:id="394551600">
          <w:marLeft w:val="0"/>
          <w:marRight w:val="0"/>
          <w:marTop w:val="0"/>
          <w:marBottom w:val="0"/>
          <w:divBdr>
            <w:top w:val="none" w:sz="0" w:space="0" w:color="auto"/>
            <w:left w:val="none" w:sz="0" w:space="0" w:color="auto"/>
            <w:bottom w:val="none" w:sz="0" w:space="0" w:color="auto"/>
            <w:right w:val="none" w:sz="0" w:space="0" w:color="auto"/>
          </w:divBdr>
        </w:div>
        <w:div w:id="1058288633">
          <w:marLeft w:val="45"/>
          <w:marRight w:val="45"/>
          <w:marTop w:val="15"/>
          <w:marBottom w:val="0"/>
          <w:divBdr>
            <w:top w:val="none" w:sz="0" w:space="0" w:color="auto"/>
            <w:left w:val="none" w:sz="0" w:space="0" w:color="auto"/>
            <w:bottom w:val="none" w:sz="0" w:space="0" w:color="auto"/>
            <w:right w:val="none" w:sz="0" w:space="0" w:color="auto"/>
          </w:divBdr>
          <w:divsChild>
            <w:div w:id="20544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3937">
      <w:bodyDiv w:val="1"/>
      <w:marLeft w:val="0"/>
      <w:marRight w:val="0"/>
      <w:marTop w:val="0"/>
      <w:marBottom w:val="0"/>
      <w:divBdr>
        <w:top w:val="none" w:sz="0" w:space="0" w:color="auto"/>
        <w:left w:val="none" w:sz="0" w:space="0" w:color="auto"/>
        <w:bottom w:val="none" w:sz="0" w:space="0" w:color="auto"/>
        <w:right w:val="none" w:sz="0" w:space="0" w:color="auto"/>
      </w:divBdr>
      <w:divsChild>
        <w:div w:id="627781963">
          <w:marLeft w:val="0"/>
          <w:marRight w:val="0"/>
          <w:marTop w:val="0"/>
          <w:marBottom w:val="0"/>
          <w:divBdr>
            <w:top w:val="none" w:sz="0" w:space="0" w:color="auto"/>
            <w:left w:val="none" w:sz="0" w:space="0" w:color="auto"/>
            <w:bottom w:val="none" w:sz="0" w:space="0" w:color="auto"/>
            <w:right w:val="none" w:sz="0" w:space="0" w:color="auto"/>
          </w:divBdr>
        </w:div>
        <w:div w:id="698819175">
          <w:marLeft w:val="45"/>
          <w:marRight w:val="45"/>
          <w:marTop w:val="15"/>
          <w:marBottom w:val="0"/>
          <w:divBdr>
            <w:top w:val="none" w:sz="0" w:space="0" w:color="auto"/>
            <w:left w:val="none" w:sz="0" w:space="0" w:color="auto"/>
            <w:bottom w:val="none" w:sz="0" w:space="0" w:color="auto"/>
            <w:right w:val="none" w:sz="0" w:space="0" w:color="auto"/>
          </w:divBdr>
          <w:divsChild>
            <w:div w:id="18997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Curtiss-Wright Corporation</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Jay</dc:creator>
  <cp:keywords/>
  <dc:description/>
  <cp:lastModifiedBy>Gardiner, Jay</cp:lastModifiedBy>
  <cp:revision>3</cp:revision>
  <dcterms:created xsi:type="dcterms:W3CDTF">2019-10-09T12:43:00Z</dcterms:created>
  <dcterms:modified xsi:type="dcterms:W3CDTF">2019-10-09T13:14:00Z</dcterms:modified>
</cp:coreProperties>
</file>