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85"/>
        <w:gridCol w:w="4765"/>
      </w:tblGrid>
      <w:tr w:rsidR="009E40D5" w14:paraId="249F8493" w14:textId="77777777" w:rsidTr="009E40D5">
        <w:tc>
          <w:tcPr>
            <w:tcW w:w="4585" w:type="dxa"/>
          </w:tcPr>
          <w:p w14:paraId="3D5A9495" w14:textId="274B2584" w:rsidR="00BE1C4A" w:rsidRDefault="00BE1C4A">
            <w:r>
              <w:t>Current Text</w:t>
            </w:r>
          </w:p>
        </w:tc>
        <w:tc>
          <w:tcPr>
            <w:tcW w:w="4765" w:type="dxa"/>
          </w:tcPr>
          <w:p w14:paraId="5702E1DB" w14:textId="150D9283" w:rsidR="00BE1C4A" w:rsidRDefault="00BE1C4A">
            <w:r>
              <w:t>Proposed Text</w:t>
            </w:r>
          </w:p>
        </w:tc>
      </w:tr>
      <w:tr w:rsidR="00CF4DED" w14:paraId="57318242" w14:textId="77777777" w:rsidTr="009E40D5">
        <w:tc>
          <w:tcPr>
            <w:tcW w:w="4585" w:type="dxa"/>
          </w:tcPr>
          <w:p w14:paraId="2E0D3C2B" w14:textId="77777777" w:rsidR="00BE1C4A" w:rsidRDefault="00BE1C4A" w:rsidP="00BE1C4A">
            <w:pPr>
              <w:autoSpaceDE w:val="0"/>
              <w:autoSpaceDN w:val="0"/>
              <w:adjustRightInd w:val="0"/>
              <w:rPr>
                <w:rFonts w:ascii="Ronnia-Bold" w:hAnsi="Ronnia-Bold" w:cs="Ronnia-Bold"/>
                <w:b/>
                <w:bCs/>
                <w:sz w:val="21"/>
                <w:szCs w:val="21"/>
              </w:rPr>
            </w:pPr>
            <w:r>
              <w:rPr>
                <w:rFonts w:ascii="Ronnia-Bold" w:hAnsi="Ronnia-Bold" w:cs="Ronnia-Bold"/>
                <w:b/>
                <w:bCs/>
                <w:sz w:val="21"/>
                <w:szCs w:val="21"/>
              </w:rPr>
              <w:t>PG-75 GENERAL</w:t>
            </w:r>
          </w:p>
          <w:p w14:paraId="49DB63BB" w14:textId="796AC050" w:rsidR="00BE1C4A" w:rsidRDefault="00BE1C4A" w:rsidP="00BE1C4A">
            <w:pPr>
              <w:autoSpaceDE w:val="0"/>
              <w:autoSpaceDN w:val="0"/>
              <w:adjustRightInd w:val="0"/>
              <w:rPr>
                <w:rFonts w:ascii="Cambria" w:hAnsi="Cambria" w:cs="Cambria"/>
                <w:sz w:val="19"/>
                <w:szCs w:val="19"/>
              </w:rPr>
            </w:pPr>
            <w:r>
              <w:rPr>
                <w:rFonts w:ascii="Cambria" w:hAnsi="Cambria" w:cs="Cambria"/>
                <w:sz w:val="19"/>
                <w:szCs w:val="19"/>
              </w:rPr>
              <w:t>The fabrication of boilers and parts thereof shall conform to the general fabrication requirements in the following paragraphs and in addition to the specific requirements for fabrication in the Parts of this Section that pertain to the methods of construction used.  Unless otherwise required to verify compliance with specific parts of this Section, visual examination shall be performed to verify compliance with applicable requirements for dimensions, joint preparation, and alignment prior to welding or joining, and finished weld conditions, as follows:</w:t>
            </w:r>
          </w:p>
          <w:p w14:paraId="2B080C52" w14:textId="176BB2F2"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(a) </w:t>
            </w:r>
            <w:r>
              <w:rPr>
                <w:rFonts w:ascii="Cambria" w:hAnsi="Cambria" w:cs="Cambria"/>
                <w:sz w:val="19"/>
                <w:szCs w:val="19"/>
              </w:rPr>
              <w:t>Visual examination shall be confined to the portions of the assembly that are exposed to unobstructed observation with the unaided eye (or with corrective lenses). This is normally performed when access is sufficient to place the eye within approximately 24 in. (600 mm) of the surface to be examined and at an angle not less than approximately 30 deg to the surface to be examined. Mirrors may be used to achieve a view of the component to be examined.</w:t>
            </w:r>
          </w:p>
          <w:p w14:paraId="401C6FFC" w14:textId="694B5292"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(b) </w:t>
            </w:r>
            <w:r>
              <w:rPr>
                <w:rFonts w:ascii="Cambria" w:hAnsi="Cambria" w:cs="Cambria"/>
                <w:sz w:val="19"/>
                <w:szCs w:val="19"/>
              </w:rPr>
              <w:t>Lighting of the area being examined must be adequate to provide clear observation, with no shadows and essentially free of glare. Supplementary lighting may be used where natural lighting is inadequate for proper examination.</w:t>
            </w:r>
          </w:p>
          <w:p w14:paraId="1FF9F0BF" w14:textId="46B591A1"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(c) </w:t>
            </w:r>
            <w:r>
              <w:rPr>
                <w:rFonts w:ascii="Cambria" w:hAnsi="Cambria" w:cs="Cambria"/>
                <w:sz w:val="19"/>
                <w:szCs w:val="19"/>
              </w:rPr>
              <w:t>The area under observation shall be clean and free of all “loose” foreign materials such as scale, sand, weld spatter and slag, cutting chips, etc.</w:t>
            </w:r>
          </w:p>
          <w:p w14:paraId="1046EC0F" w14:textId="4BBFFD75"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(d) </w:t>
            </w:r>
            <w:r>
              <w:rPr>
                <w:rFonts w:ascii="Cambria" w:hAnsi="Cambria" w:cs="Cambria"/>
                <w:sz w:val="19"/>
                <w:szCs w:val="19"/>
              </w:rPr>
              <w:t>At the discretion of the Manufacturer or the Inspector, supplemental visual examination methods may be used to verify acceptability of suspect areas.</w:t>
            </w:r>
          </w:p>
          <w:p w14:paraId="53FD5EC2" w14:textId="2415741D" w:rsidR="00BE1C4A" w:rsidRP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(e) </w:t>
            </w:r>
            <w:r>
              <w:rPr>
                <w:rFonts w:ascii="Cambria" w:hAnsi="Cambria" w:cs="Cambria"/>
                <w:sz w:val="19"/>
                <w:szCs w:val="19"/>
              </w:rPr>
              <w:t>At the option of the Manufacturer, visual examination may be performed in accordance with Section V, Article 9.</w:t>
            </w:r>
          </w:p>
        </w:tc>
        <w:tc>
          <w:tcPr>
            <w:tcW w:w="4765" w:type="dxa"/>
          </w:tcPr>
          <w:p w14:paraId="3B531ACD" w14:textId="77777777" w:rsidR="00BE1C4A" w:rsidRDefault="00BE1C4A" w:rsidP="00BE1C4A">
            <w:pPr>
              <w:autoSpaceDE w:val="0"/>
              <w:autoSpaceDN w:val="0"/>
              <w:adjustRightInd w:val="0"/>
              <w:rPr>
                <w:rFonts w:ascii="Ronnia-Bold" w:hAnsi="Ronnia-Bold" w:cs="Ronnia-Bold"/>
                <w:b/>
                <w:bCs/>
                <w:sz w:val="21"/>
                <w:szCs w:val="21"/>
              </w:rPr>
            </w:pPr>
            <w:r>
              <w:rPr>
                <w:rFonts w:ascii="Ronnia-Bold" w:hAnsi="Ronnia-Bold" w:cs="Ronnia-Bold"/>
                <w:b/>
                <w:bCs/>
                <w:sz w:val="21"/>
                <w:szCs w:val="21"/>
              </w:rPr>
              <w:t>PG-75 GENERAL</w:t>
            </w:r>
          </w:p>
          <w:p w14:paraId="0E5F6370" w14:textId="0BB22032" w:rsidR="00683862" w:rsidRPr="005B2277" w:rsidRDefault="00BE1C4A" w:rsidP="00396229">
            <w:pPr>
              <w:autoSpaceDE w:val="0"/>
              <w:autoSpaceDN w:val="0"/>
              <w:adjustRightInd w:val="0"/>
              <w:rPr>
                <w:rFonts w:ascii="Cambria" w:hAnsi="Cambria" w:cs="Cambria"/>
                <w:color w:val="FF0000"/>
                <w:sz w:val="19"/>
                <w:szCs w:val="19"/>
              </w:rPr>
            </w:pPr>
            <w:r>
              <w:rPr>
                <w:rFonts w:ascii="Cambria" w:hAnsi="Cambria" w:cs="Cambria"/>
                <w:sz w:val="19"/>
                <w:szCs w:val="19"/>
              </w:rPr>
              <w:t xml:space="preserve">The fabrication of </w:t>
            </w:r>
            <w:r w:rsidRPr="00E672CF">
              <w:rPr>
                <w:rFonts w:ascii="Cambria" w:hAnsi="Cambria" w:cs="Cambria"/>
                <w:color w:val="FF0000"/>
                <w:sz w:val="19"/>
                <w:szCs w:val="19"/>
              </w:rPr>
              <w:t>boiler</w:t>
            </w:r>
            <w:r w:rsidR="00E672CF" w:rsidRPr="00E672CF">
              <w:rPr>
                <w:rFonts w:ascii="Cambria" w:hAnsi="Cambria" w:cs="Cambria"/>
                <w:color w:val="FF0000"/>
                <w:sz w:val="19"/>
                <w:szCs w:val="19"/>
              </w:rPr>
              <w:t xml:space="preserve"> </w:t>
            </w:r>
            <w:r w:rsidR="00183B84" w:rsidRPr="00E672CF">
              <w:rPr>
                <w:rFonts w:ascii="Cambria" w:hAnsi="Cambria" w:cs="Cambria"/>
                <w:color w:val="FF0000"/>
                <w:sz w:val="19"/>
                <w:szCs w:val="19"/>
              </w:rPr>
              <w:t xml:space="preserve">pressure </w:t>
            </w:r>
            <w:r w:rsidRPr="00E672CF">
              <w:rPr>
                <w:rFonts w:ascii="Cambria" w:hAnsi="Cambria" w:cs="Cambria"/>
                <w:color w:val="FF0000"/>
                <w:sz w:val="19"/>
                <w:szCs w:val="19"/>
              </w:rPr>
              <w:t xml:space="preserve">parts </w:t>
            </w:r>
            <w:r>
              <w:rPr>
                <w:rFonts w:ascii="Cambria" w:hAnsi="Cambria" w:cs="Cambria"/>
                <w:sz w:val="19"/>
                <w:szCs w:val="19"/>
              </w:rPr>
              <w:t xml:space="preserve">shall conform to the general fabrication requirements in the following paragraphs. </w:t>
            </w:r>
            <w:r w:rsidRPr="00FF601C">
              <w:rPr>
                <w:rFonts w:ascii="Cambria" w:hAnsi="Cambria" w:cs="Cambria"/>
                <w:sz w:val="19"/>
                <w:szCs w:val="19"/>
              </w:rPr>
              <w:t>Additional requirements for fabrication are found in the Parts of this Section that pertain to the</w:t>
            </w:r>
            <w:r w:rsidR="00396229" w:rsidRPr="00FF601C">
              <w:rPr>
                <w:rFonts w:ascii="Cambria" w:hAnsi="Cambria" w:cs="Cambria"/>
                <w:sz w:val="19"/>
                <w:szCs w:val="19"/>
              </w:rPr>
              <w:t xml:space="preserve"> specific</w:t>
            </w:r>
            <w:r w:rsidRPr="00FF601C">
              <w:rPr>
                <w:rFonts w:ascii="Cambria" w:hAnsi="Cambria" w:cs="Cambria"/>
                <w:sz w:val="19"/>
                <w:szCs w:val="19"/>
              </w:rPr>
              <w:t xml:space="preserve"> methods of construction used.  </w:t>
            </w:r>
          </w:p>
          <w:p w14:paraId="15C6DF88" w14:textId="77777777" w:rsidR="00683862" w:rsidRDefault="00683862" w:rsidP="00396229">
            <w:pPr>
              <w:autoSpaceDE w:val="0"/>
              <w:autoSpaceDN w:val="0"/>
              <w:adjustRightInd w:val="0"/>
              <w:rPr>
                <w:rFonts w:ascii="Cambria" w:hAnsi="Cambria" w:cs="Cambria"/>
                <w:sz w:val="19"/>
                <w:szCs w:val="19"/>
              </w:rPr>
            </w:pPr>
          </w:p>
          <w:p w14:paraId="7E37FEEA" w14:textId="1A241D80" w:rsidR="00BE1C4A" w:rsidRPr="003F35E8" w:rsidRDefault="00683862" w:rsidP="00396229">
            <w:pPr>
              <w:autoSpaceDE w:val="0"/>
              <w:autoSpaceDN w:val="0"/>
              <w:adjustRightInd w:val="0"/>
              <w:rPr>
                <w:rFonts w:ascii="Cambria" w:hAnsi="Cambria" w:cs="Cambria"/>
                <w:sz w:val="19"/>
                <w:szCs w:val="19"/>
              </w:rPr>
            </w:pPr>
            <w:r w:rsidRPr="005B2277">
              <w:rPr>
                <w:rFonts w:ascii="Ronnia-Bold" w:hAnsi="Ronnia-Bold" w:cs="Ronnia-Bold"/>
                <w:b/>
                <w:bCs/>
                <w:color w:val="FF0000"/>
                <w:sz w:val="20"/>
                <w:szCs w:val="20"/>
              </w:rPr>
              <w:t xml:space="preserve">PG-75.1 </w:t>
            </w:r>
            <w:r w:rsidR="00CF4DED">
              <w:rPr>
                <w:rFonts w:ascii="Cambria" w:hAnsi="Cambria" w:cs="Cambria"/>
                <w:sz w:val="19"/>
                <w:szCs w:val="19"/>
              </w:rPr>
              <w:t>V</w:t>
            </w:r>
            <w:r w:rsidR="00BE1C4A" w:rsidRPr="003F35E8">
              <w:rPr>
                <w:rFonts w:ascii="Cambria" w:hAnsi="Cambria" w:cs="Cambria"/>
                <w:sz w:val="19"/>
                <w:szCs w:val="19"/>
              </w:rPr>
              <w:t>isual examination shall be performed to verify requirements for dimensions, joint preparation, and alignment prior to welding or joining, and finished weld conditions, as follows:</w:t>
            </w:r>
          </w:p>
          <w:p w14:paraId="453B4C0C" w14:textId="768C65E1"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(a) </w:t>
            </w:r>
            <w:r>
              <w:rPr>
                <w:rFonts w:ascii="Cambria" w:hAnsi="Cambria" w:cs="Cambria"/>
                <w:sz w:val="19"/>
                <w:szCs w:val="19"/>
              </w:rPr>
              <w:t>Visual examination shall be confined to the portions of the assembly that are exposed to unobstructed observation with the unaided eye (or with corrective lenses). This is normally performed when access is sufficient to place the eye within approximately 24 in. (600 mm) and at an angle not less than approximately 30 deg to the surface to be examined. Mirrors may be used to achieve a view of the component to be examined.</w:t>
            </w:r>
          </w:p>
          <w:p w14:paraId="0EE137B6" w14:textId="77777777"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(b) </w:t>
            </w:r>
            <w:r>
              <w:rPr>
                <w:rFonts w:ascii="Cambria" w:hAnsi="Cambria" w:cs="Cambria"/>
                <w:sz w:val="19"/>
                <w:szCs w:val="19"/>
              </w:rPr>
              <w:t>Lighting of the area being examined must be adequate to provide clear observation, with no shadows and essentially free of glare. Supplementary lighting may be used where natural lighting is inadequate for proper examination.</w:t>
            </w:r>
          </w:p>
          <w:p w14:paraId="7123024D" w14:textId="77777777"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(c) </w:t>
            </w:r>
            <w:r>
              <w:rPr>
                <w:rFonts w:ascii="Cambria" w:hAnsi="Cambria" w:cs="Cambria"/>
                <w:sz w:val="19"/>
                <w:szCs w:val="19"/>
              </w:rPr>
              <w:t>The area under observation shall be clean and free of all “loose” foreign materials such as scale, sand, weld spatter and slag, cutting chips, etc.</w:t>
            </w:r>
          </w:p>
          <w:p w14:paraId="671C4539" w14:textId="447E3FE1" w:rsidR="00BE1C4A" w:rsidRDefault="00BE1C4A" w:rsidP="00BE1C4A">
            <w:pPr>
              <w:autoSpaceDE w:val="0"/>
              <w:autoSpaceDN w:val="0"/>
              <w:adjustRightInd w:val="0"/>
              <w:rPr>
                <w:rFonts w:ascii="Cambria" w:hAnsi="Cambria" w:cs="Cambria"/>
                <w:sz w:val="19"/>
                <w:szCs w:val="19"/>
              </w:rPr>
            </w:pPr>
            <w:r>
              <w:rPr>
                <w:rFonts w:ascii="Cambria-Italic" w:eastAsia="Cambria-Italic" w:hAnsi="Cambria" w:cs="Cambria-Italic"/>
                <w:i/>
                <w:iCs/>
                <w:sz w:val="19"/>
                <w:szCs w:val="19"/>
              </w:rPr>
              <w:t xml:space="preserve">(d) </w:t>
            </w:r>
            <w:r>
              <w:rPr>
                <w:rFonts w:ascii="Cambria" w:hAnsi="Cambria" w:cs="Cambria"/>
                <w:sz w:val="19"/>
                <w:szCs w:val="19"/>
              </w:rPr>
              <w:t>At the discretion of the Manufacturer or the Inspector, supplemental visual examination methods may be used to verify acceptability of suspect areas.</w:t>
            </w:r>
          </w:p>
          <w:p w14:paraId="3A292306" w14:textId="42988249" w:rsidR="00BE1C4A" w:rsidRDefault="00BE1C4A" w:rsidP="00BE1C4A">
            <w:r>
              <w:rPr>
                <w:rFonts w:ascii="Cambria-Italic" w:eastAsia="Cambria-Italic" w:hAnsi="Cambria" w:cs="Cambria-Italic"/>
                <w:i/>
                <w:iCs/>
                <w:sz w:val="19"/>
                <w:szCs w:val="19"/>
              </w:rPr>
              <w:t xml:space="preserve">(e) </w:t>
            </w:r>
            <w:r>
              <w:rPr>
                <w:rFonts w:ascii="Cambria" w:hAnsi="Cambria" w:cs="Cambria"/>
                <w:sz w:val="19"/>
                <w:szCs w:val="19"/>
              </w:rPr>
              <w:t>At the option of the Manufacturer, visual examination may be performed in accordance with Section V, Article 9.</w:t>
            </w:r>
          </w:p>
        </w:tc>
      </w:tr>
    </w:tbl>
    <w:p w14:paraId="34EE789E" w14:textId="77777777" w:rsidR="0087185B" w:rsidRDefault="0087185B"/>
    <w:sectPr w:rsidR="008718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85FB" w14:textId="77777777" w:rsidR="00A45E16" w:rsidRDefault="00A45E16" w:rsidP="009E0434">
      <w:pPr>
        <w:spacing w:after="0" w:line="240" w:lineRule="auto"/>
      </w:pPr>
      <w:r>
        <w:separator/>
      </w:r>
    </w:p>
  </w:endnote>
  <w:endnote w:type="continuationSeparator" w:id="0">
    <w:p w14:paraId="11CF22C2" w14:textId="77777777" w:rsidR="00A45E16" w:rsidRDefault="00A45E16" w:rsidP="009E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nni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Italic">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5674" w14:textId="77777777" w:rsidR="00A45E16" w:rsidRDefault="00A45E16" w:rsidP="009E0434">
      <w:pPr>
        <w:spacing w:after="0" w:line="240" w:lineRule="auto"/>
      </w:pPr>
      <w:r>
        <w:separator/>
      </w:r>
    </w:p>
  </w:footnote>
  <w:footnote w:type="continuationSeparator" w:id="0">
    <w:p w14:paraId="7AC9AC55" w14:textId="77777777" w:rsidR="00A45E16" w:rsidRDefault="00A45E16" w:rsidP="009E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EA1" w14:textId="3706DA9C" w:rsidR="002B0200" w:rsidRPr="008535D2" w:rsidRDefault="002B0200" w:rsidP="002B0200">
    <w:pPr>
      <w:tabs>
        <w:tab w:val="center" w:pos="4680"/>
        <w:tab w:val="right" w:pos="9360"/>
      </w:tabs>
      <w:spacing w:after="0" w:line="240" w:lineRule="auto"/>
    </w:pPr>
    <w:r w:rsidRPr="008535D2">
      <w:t>Record # 22-14</w:t>
    </w:r>
    <w:r>
      <w:t>82</w:t>
    </w:r>
  </w:p>
  <w:p w14:paraId="36B611B6" w14:textId="77777777" w:rsidR="002B0200" w:rsidRPr="008535D2" w:rsidRDefault="002B0200" w:rsidP="002B0200">
    <w:pPr>
      <w:tabs>
        <w:tab w:val="center" w:pos="4680"/>
        <w:tab w:val="right" w:pos="9360"/>
      </w:tabs>
      <w:spacing w:after="0" w:line="240" w:lineRule="auto"/>
    </w:pPr>
    <w:r w:rsidRPr="008535D2">
      <w:t>Section I Clarity Project</w:t>
    </w:r>
  </w:p>
  <w:p w14:paraId="29D2C362" w14:textId="7322072F" w:rsidR="002B0200" w:rsidRDefault="002B0200">
    <w:pPr>
      <w:pStyle w:val="Header"/>
    </w:pPr>
    <w:r>
      <w:t>PG-75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7DB"/>
    <w:multiLevelType w:val="hybridMultilevel"/>
    <w:tmpl w:val="A5C270E0"/>
    <w:lvl w:ilvl="0" w:tplc="A29EF07E">
      <w:start w:val="1"/>
      <w:numFmt w:val="lowerLetter"/>
      <w:lvlText w:val="(%1)"/>
      <w:lvlJc w:val="left"/>
      <w:pPr>
        <w:ind w:left="720" w:hanging="360"/>
      </w:pPr>
      <w:rPr>
        <w:rFonts w:ascii="Calibri" w:hAnsi="Calibri" w:cs="Calibri" w:hint="default"/>
        <w:b w:val="0"/>
        <w:bCs/>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4A"/>
    <w:rsid w:val="00183B84"/>
    <w:rsid w:val="001E4D7C"/>
    <w:rsid w:val="00274D66"/>
    <w:rsid w:val="002800D9"/>
    <w:rsid w:val="002B0200"/>
    <w:rsid w:val="003170A8"/>
    <w:rsid w:val="00396229"/>
    <w:rsid w:val="003F35E8"/>
    <w:rsid w:val="00433F80"/>
    <w:rsid w:val="005B2277"/>
    <w:rsid w:val="00683862"/>
    <w:rsid w:val="007501EB"/>
    <w:rsid w:val="00772E8D"/>
    <w:rsid w:val="007B279A"/>
    <w:rsid w:val="00821214"/>
    <w:rsid w:val="0087185B"/>
    <w:rsid w:val="009D78F8"/>
    <w:rsid w:val="009E0434"/>
    <w:rsid w:val="009E40D5"/>
    <w:rsid w:val="00A45E16"/>
    <w:rsid w:val="00BE1C4A"/>
    <w:rsid w:val="00CF4DED"/>
    <w:rsid w:val="00E672CF"/>
    <w:rsid w:val="00EE3EBD"/>
    <w:rsid w:val="00FA2A57"/>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FBA0"/>
  <w15:chartTrackingRefBased/>
  <w15:docId w15:val="{C6A0D752-A180-4972-B81A-E604E05A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29"/>
    <w:pPr>
      <w:ind w:left="720"/>
      <w:contextualSpacing/>
    </w:pPr>
  </w:style>
  <w:style w:type="paragraph" w:styleId="Header">
    <w:name w:val="header"/>
    <w:basedOn w:val="Normal"/>
    <w:link w:val="HeaderChar"/>
    <w:uiPriority w:val="99"/>
    <w:unhideWhenUsed/>
    <w:rsid w:val="002B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00"/>
  </w:style>
  <w:style w:type="paragraph" w:styleId="Footer">
    <w:name w:val="footer"/>
    <w:basedOn w:val="Normal"/>
    <w:link w:val="FooterChar"/>
    <w:uiPriority w:val="99"/>
    <w:unhideWhenUsed/>
    <w:rsid w:val="002B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D81B-C2F1-4313-999F-14876E1A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Fluor Inc.</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Fincher</dc:creator>
  <cp:keywords/>
  <dc:description/>
  <cp:lastModifiedBy>Scott Fincher</cp:lastModifiedBy>
  <cp:revision>4</cp:revision>
  <dcterms:created xsi:type="dcterms:W3CDTF">2022-11-08T19:26:00Z</dcterms:created>
  <dcterms:modified xsi:type="dcterms:W3CDTF">2022-11-08T20:07:00Z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d746c0-3369-42be-bf83-6862f3f56ae7_Enabled">
    <vt:lpwstr>true</vt:lpwstr>
  </property>
  <property fmtid="{D5CDD505-2E9C-101B-9397-08002B2CF9AE}" pid="3" name="MSIP_Label_e9d746c0-3369-42be-bf83-6862f3f56ae7_SetDate">
    <vt:lpwstr>2022-07-27T17:16:47Z</vt:lpwstr>
  </property>
  <property fmtid="{D5CDD505-2E9C-101B-9397-08002B2CF9AE}" pid="4" name="MSIP_Label_e9d746c0-3369-42be-bf83-6862f3f56ae7_Method">
    <vt:lpwstr>Standard</vt:lpwstr>
  </property>
  <property fmtid="{D5CDD505-2E9C-101B-9397-08002B2CF9AE}" pid="5" name="MSIP_Label_e9d746c0-3369-42be-bf83-6862f3f56ae7_Name">
    <vt:lpwstr>Fluor General</vt:lpwstr>
  </property>
  <property fmtid="{D5CDD505-2E9C-101B-9397-08002B2CF9AE}" pid="6" name="MSIP_Label_e9d746c0-3369-42be-bf83-6862f3f56ae7_SiteId">
    <vt:lpwstr>75864cfe-f26d-419c-b69d-c638695b5533</vt:lpwstr>
  </property>
  <property fmtid="{D5CDD505-2E9C-101B-9397-08002B2CF9AE}" pid="7" name="MSIP_Label_e9d746c0-3369-42be-bf83-6862f3f56ae7_ActionId">
    <vt:lpwstr>1cea6da7-3101-406f-9174-82fca02dbc96</vt:lpwstr>
  </property>
  <property fmtid="{D5CDD505-2E9C-101B-9397-08002B2CF9AE}" pid="8" name="MSIP_Label_e9d746c0-3369-42be-bf83-6862f3f56ae7_ContentBits">
    <vt:lpwstr>0</vt:lpwstr>
  </property>
</Properties>
</file>