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803" w:rsidRPr="00DB639C" w:rsidRDefault="00522803" w:rsidP="00522803">
      <w:pPr>
        <w:rPr>
          <w:color w:val="FF0000"/>
          <w:sz w:val="28"/>
          <w:szCs w:val="28"/>
        </w:rPr>
      </w:pPr>
      <w:r w:rsidRPr="00DB639C">
        <w:rPr>
          <w:color w:val="FF0000"/>
          <w:sz w:val="28"/>
          <w:szCs w:val="28"/>
        </w:rPr>
        <w:t>Record 14-</w:t>
      </w:r>
      <w:proofErr w:type="gramStart"/>
      <w:r w:rsidRPr="00DB639C">
        <w:rPr>
          <w:color w:val="FF0000"/>
          <w:sz w:val="28"/>
          <w:szCs w:val="28"/>
        </w:rPr>
        <w:t xml:space="preserve">345  </w:t>
      </w:r>
      <w:r w:rsidR="0010124D">
        <w:rPr>
          <w:color w:val="FF0000"/>
          <w:sz w:val="28"/>
          <w:szCs w:val="28"/>
        </w:rPr>
        <w:t>April</w:t>
      </w:r>
      <w:proofErr w:type="gramEnd"/>
      <w:r w:rsidR="0010124D">
        <w:rPr>
          <w:color w:val="FF0000"/>
          <w:sz w:val="28"/>
          <w:szCs w:val="28"/>
        </w:rPr>
        <w:t xml:space="preserve"> 18, 2022</w:t>
      </w:r>
      <w:r w:rsidRPr="00DB639C">
        <w:rPr>
          <w:color w:val="FF0000"/>
          <w:sz w:val="28"/>
          <w:szCs w:val="28"/>
        </w:rPr>
        <w:t xml:space="preserve"> proposal</w:t>
      </w:r>
    </w:p>
    <w:p w:rsidR="00522803" w:rsidRDefault="00522803" w:rsidP="000F01FB">
      <w:pPr>
        <w:autoSpaceDE w:val="0"/>
        <w:autoSpaceDN w:val="0"/>
        <w:adjustRightInd w:val="0"/>
        <w:spacing w:after="0" w:line="240" w:lineRule="auto"/>
        <w:rPr>
          <w:rFonts w:ascii="Ronnia-Bold" w:hAnsi="Ronnia-Bold" w:cs="Ronnia-Bold"/>
          <w:b/>
          <w:bCs/>
          <w:color w:val="000000"/>
          <w:sz w:val="21"/>
          <w:szCs w:val="21"/>
        </w:rPr>
      </w:pPr>
    </w:p>
    <w:p w:rsidR="000F01FB" w:rsidRDefault="000F01FB" w:rsidP="000F01FB">
      <w:pPr>
        <w:autoSpaceDE w:val="0"/>
        <w:autoSpaceDN w:val="0"/>
        <w:adjustRightInd w:val="0"/>
        <w:spacing w:after="0" w:line="240" w:lineRule="auto"/>
        <w:rPr>
          <w:rFonts w:ascii="Ronnia-Bold" w:hAnsi="Ronnia-Bold" w:cs="Ronnia-Bold"/>
          <w:b/>
          <w:bCs/>
          <w:color w:val="000000"/>
          <w:sz w:val="21"/>
          <w:szCs w:val="21"/>
        </w:rPr>
      </w:pPr>
      <w:r>
        <w:rPr>
          <w:rFonts w:ascii="Ronnia-Bold" w:hAnsi="Ronnia-Bold" w:cs="Ronnia-Bold"/>
          <w:b/>
          <w:bCs/>
          <w:color w:val="000000"/>
          <w:sz w:val="21"/>
          <w:szCs w:val="21"/>
        </w:rPr>
        <w:t>UG-101 PROOF TESTS TO ESTABLISH MAXIMUM</w:t>
      </w:r>
      <w:r w:rsidR="00522803">
        <w:rPr>
          <w:rFonts w:ascii="Ronnia-Bold" w:hAnsi="Ronnia-Bold" w:cs="Ronnia-Bold"/>
          <w:b/>
          <w:bCs/>
          <w:color w:val="000000"/>
          <w:sz w:val="21"/>
          <w:szCs w:val="21"/>
        </w:rPr>
        <w:t xml:space="preserve">         </w:t>
      </w:r>
      <w:r w:rsidR="00522803" w:rsidRPr="00522803">
        <w:rPr>
          <w:rFonts w:ascii="Ronnia-Bold" w:hAnsi="Ronnia-Bold" w:cs="Ronnia-Bold"/>
          <w:b/>
          <w:bCs/>
          <w:color w:val="FF0000"/>
          <w:sz w:val="21"/>
          <w:szCs w:val="21"/>
        </w:rPr>
        <w:t>The current UG-101 (a</w:t>
      </w:r>
      <w:proofErr w:type="gramStart"/>
      <w:r w:rsidR="00522803" w:rsidRPr="00522803">
        <w:rPr>
          <w:rFonts w:ascii="Ronnia-Bold" w:hAnsi="Ronnia-Bold" w:cs="Ronnia-Bold"/>
          <w:b/>
          <w:bCs/>
          <w:color w:val="FF0000"/>
          <w:sz w:val="21"/>
          <w:szCs w:val="21"/>
        </w:rPr>
        <w:t>)</w:t>
      </w:r>
      <w:r w:rsidR="0010124D">
        <w:rPr>
          <w:rFonts w:ascii="Ronnia-Bold" w:hAnsi="Ronnia-Bold" w:cs="Ronnia-Bold"/>
          <w:b/>
          <w:bCs/>
          <w:color w:val="FF0000"/>
          <w:sz w:val="21"/>
          <w:szCs w:val="21"/>
        </w:rPr>
        <w:t>(</w:t>
      </w:r>
      <w:proofErr w:type="gramEnd"/>
      <w:r w:rsidR="0010124D">
        <w:rPr>
          <w:rFonts w:ascii="Ronnia-Bold" w:hAnsi="Ronnia-Bold" w:cs="Ronnia-Bold"/>
          <w:b/>
          <w:bCs/>
          <w:color w:val="FF0000"/>
          <w:sz w:val="21"/>
          <w:szCs w:val="21"/>
        </w:rPr>
        <w:t xml:space="preserve">1) – (a)(4) is </w:t>
      </w:r>
    </w:p>
    <w:p w:rsidR="000F01FB" w:rsidRDefault="000F01FB" w:rsidP="000F01FB">
      <w:pPr>
        <w:autoSpaceDE w:val="0"/>
        <w:autoSpaceDN w:val="0"/>
        <w:adjustRightInd w:val="0"/>
        <w:spacing w:after="0" w:line="240" w:lineRule="auto"/>
        <w:rPr>
          <w:rFonts w:ascii="Ronnia-Bold" w:hAnsi="Ronnia-Bold" w:cs="Ronnia-Bold"/>
          <w:b/>
          <w:bCs/>
          <w:color w:val="000000"/>
          <w:sz w:val="21"/>
          <w:szCs w:val="21"/>
        </w:rPr>
      </w:pPr>
      <w:r>
        <w:rPr>
          <w:rFonts w:ascii="Ronnia-Bold" w:hAnsi="Ronnia-Bold" w:cs="Ronnia-Bold"/>
          <w:b/>
          <w:bCs/>
          <w:color w:val="000000"/>
          <w:sz w:val="21"/>
          <w:szCs w:val="21"/>
        </w:rPr>
        <w:t>ALLOWABLE WORKING PRESSURE</w:t>
      </w:r>
      <w:r w:rsidR="0010124D">
        <w:rPr>
          <w:rFonts w:ascii="Ronnia-Bold" w:hAnsi="Ronnia-Bold" w:cs="Ronnia-Bold"/>
          <w:b/>
          <w:bCs/>
          <w:color w:val="000000"/>
          <w:sz w:val="21"/>
          <w:szCs w:val="21"/>
        </w:rPr>
        <w:tab/>
      </w:r>
      <w:r w:rsidR="0010124D">
        <w:rPr>
          <w:rFonts w:ascii="Ronnia-Bold" w:hAnsi="Ronnia-Bold" w:cs="Ronnia-Bold"/>
          <w:b/>
          <w:bCs/>
          <w:color w:val="000000"/>
          <w:sz w:val="21"/>
          <w:szCs w:val="21"/>
        </w:rPr>
        <w:tab/>
      </w:r>
      <w:r w:rsidR="0010124D">
        <w:rPr>
          <w:rFonts w:ascii="Ronnia-Bold" w:hAnsi="Ronnia-Bold" w:cs="Ronnia-Bold"/>
          <w:b/>
          <w:bCs/>
          <w:color w:val="000000"/>
          <w:sz w:val="21"/>
          <w:szCs w:val="21"/>
        </w:rPr>
        <w:tab/>
      </w:r>
      <w:r w:rsidR="0010124D" w:rsidRPr="0010124D">
        <w:rPr>
          <w:rFonts w:ascii="Ronnia-Bold" w:hAnsi="Ronnia-Bold" w:cs="Ronnia-Bold"/>
          <w:b/>
          <w:bCs/>
          <w:color w:val="FF0000"/>
          <w:sz w:val="21"/>
          <w:szCs w:val="21"/>
        </w:rPr>
        <w:t>Information only</w:t>
      </w:r>
      <w:r w:rsidR="00522803">
        <w:rPr>
          <w:rFonts w:ascii="Ronnia-Bold" w:hAnsi="Ronnia-Bold" w:cs="Ronnia-Bold"/>
          <w:b/>
          <w:bCs/>
          <w:color w:val="000000"/>
          <w:sz w:val="21"/>
          <w:szCs w:val="21"/>
        </w:rPr>
        <w:tab/>
      </w:r>
      <w:r w:rsidR="00522803">
        <w:rPr>
          <w:rFonts w:ascii="Ronnia-Bold" w:hAnsi="Ronnia-Bold" w:cs="Ronnia-Bold"/>
          <w:b/>
          <w:bCs/>
          <w:color w:val="000000"/>
          <w:sz w:val="21"/>
          <w:szCs w:val="21"/>
        </w:rPr>
        <w:tab/>
      </w:r>
      <w:r w:rsidR="00522803">
        <w:rPr>
          <w:rFonts w:ascii="Ronnia-Bold" w:hAnsi="Ronnia-Bold" w:cs="Ronnia-Bold"/>
          <w:b/>
          <w:bCs/>
          <w:color w:val="000000"/>
          <w:sz w:val="21"/>
          <w:szCs w:val="21"/>
        </w:rPr>
        <w:tab/>
      </w:r>
    </w:p>
    <w:p w:rsidR="000F01FB" w:rsidRDefault="000F01FB" w:rsidP="000F01FB">
      <w:pPr>
        <w:autoSpaceDE w:val="0"/>
        <w:autoSpaceDN w:val="0"/>
        <w:adjustRightInd w:val="0"/>
        <w:spacing w:after="0" w:line="240" w:lineRule="auto"/>
        <w:rPr>
          <w:rFonts w:ascii="CambriaItalic" w:hAnsi="CambriaItalic" w:cs="CambriaItalic"/>
          <w:i/>
          <w:iCs/>
          <w:color w:val="000000"/>
          <w:sz w:val="19"/>
          <w:szCs w:val="19"/>
        </w:rPr>
      </w:pPr>
      <w:r>
        <w:rPr>
          <w:rFonts w:ascii="CambriaItalic" w:hAnsi="CambriaItalic" w:cs="CambriaItalic"/>
          <w:i/>
          <w:iCs/>
          <w:color w:val="000000"/>
          <w:sz w:val="19"/>
          <w:szCs w:val="19"/>
        </w:rPr>
        <w:t>(</w:t>
      </w:r>
      <w:proofErr w:type="gramStart"/>
      <w:r>
        <w:rPr>
          <w:rFonts w:ascii="CambriaItalic" w:hAnsi="CambriaItalic" w:cs="CambriaItalic"/>
          <w:i/>
          <w:iCs/>
          <w:color w:val="000000"/>
          <w:sz w:val="19"/>
          <w:szCs w:val="19"/>
        </w:rPr>
        <w:t>a</w:t>
      </w:r>
      <w:proofErr w:type="gramEnd"/>
      <w:r>
        <w:rPr>
          <w:rFonts w:ascii="CambriaItalic" w:hAnsi="CambriaItalic" w:cs="CambriaItalic"/>
          <w:i/>
          <w:iCs/>
          <w:color w:val="000000"/>
          <w:sz w:val="19"/>
          <w:szCs w:val="19"/>
        </w:rPr>
        <w:t>) General</w:t>
      </w:r>
    </w:p>
    <w:p w:rsidR="000F01FB" w:rsidRDefault="000F01FB" w:rsidP="000F01FB">
      <w:pPr>
        <w:autoSpaceDE w:val="0"/>
        <w:autoSpaceDN w:val="0"/>
        <w:adjustRightInd w:val="0"/>
        <w:spacing w:after="0" w:line="240" w:lineRule="auto"/>
        <w:rPr>
          <w:rFonts w:ascii="Cambria" w:hAnsi="Cambria" w:cs="Cambria"/>
          <w:color w:val="000000"/>
          <w:sz w:val="19"/>
          <w:szCs w:val="19"/>
        </w:rPr>
      </w:pPr>
      <w:r>
        <w:rPr>
          <w:rFonts w:ascii="CambriaItalic" w:hAnsi="CambriaItalic" w:cs="CambriaItalic"/>
          <w:i/>
          <w:iCs/>
          <w:color w:val="000000"/>
          <w:sz w:val="19"/>
          <w:szCs w:val="19"/>
        </w:rPr>
        <w:t xml:space="preserve">(1) </w:t>
      </w:r>
      <w:r>
        <w:rPr>
          <w:rFonts w:ascii="Cambria" w:hAnsi="Cambria" w:cs="Cambria"/>
          <w:color w:val="000000"/>
          <w:sz w:val="19"/>
          <w:szCs w:val="19"/>
        </w:rPr>
        <w:t>The maximum allowable working pressure for</w:t>
      </w:r>
    </w:p>
    <w:p w:rsidR="000F01FB" w:rsidRDefault="000F01FB" w:rsidP="000F01FB">
      <w:pPr>
        <w:autoSpaceDE w:val="0"/>
        <w:autoSpaceDN w:val="0"/>
        <w:adjustRightInd w:val="0"/>
        <w:spacing w:after="0" w:line="240" w:lineRule="auto"/>
        <w:rPr>
          <w:rFonts w:ascii="Cambria" w:hAnsi="Cambria" w:cs="Cambria"/>
          <w:color w:val="000000"/>
          <w:sz w:val="19"/>
          <w:szCs w:val="19"/>
        </w:rPr>
      </w:pPr>
      <w:proofErr w:type="gramStart"/>
      <w:r>
        <w:rPr>
          <w:rFonts w:ascii="Cambria" w:hAnsi="Cambria" w:cs="Cambria"/>
          <w:color w:val="000000"/>
          <w:sz w:val="19"/>
          <w:szCs w:val="19"/>
        </w:rPr>
        <w:t>vessels</w:t>
      </w:r>
      <w:proofErr w:type="gramEnd"/>
      <w:r>
        <w:rPr>
          <w:rFonts w:ascii="Cambria" w:hAnsi="Cambria" w:cs="Cambria"/>
          <w:color w:val="000000"/>
          <w:sz w:val="19"/>
          <w:szCs w:val="19"/>
        </w:rPr>
        <w:t xml:space="preserve"> or vessel parts for which the strength cannot be</w:t>
      </w:r>
    </w:p>
    <w:p w:rsidR="000F01FB" w:rsidRDefault="000F01FB" w:rsidP="000F01FB">
      <w:pPr>
        <w:autoSpaceDE w:val="0"/>
        <w:autoSpaceDN w:val="0"/>
        <w:adjustRightInd w:val="0"/>
        <w:spacing w:after="0" w:line="240" w:lineRule="auto"/>
        <w:rPr>
          <w:rFonts w:ascii="Cambria" w:hAnsi="Cambria" w:cs="Cambria"/>
          <w:color w:val="000000"/>
          <w:sz w:val="19"/>
          <w:szCs w:val="19"/>
        </w:rPr>
      </w:pPr>
      <w:proofErr w:type="gramStart"/>
      <w:r>
        <w:rPr>
          <w:rFonts w:ascii="Cambria" w:hAnsi="Cambria" w:cs="Cambria"/>
          <w:color w:val="000000"/>
          <w:sz w:val="19"/>
          <w:szCs w:val="19"/>
        </w:rPr>
        <w:t>computed</w:t>
      </w:r>
      <w:proofErr w:type="gramEnd"/>
      <w:r>
        <w:rPr>
          <w:rFonts w:ascii="Cambria" w:hAnsi="Cambria" w:cs="Cambria"/>
          <w:color w:val="000000"/>
          <w:sz w:val="19"/>
          <w:szCs w:val="19"/>
        </w:rPr>
        <w:t xml:space="preserve"> with a satisfactory assurance of accuracy (see</w:t>
      </w:r>
    </w:p>
    <w:p w:rsidR="000F01FB" w:rsidRDefault="000F01FB" w:rsidP="000F01FB">
      <w:pPr>
        <w:autoSpaceDE w:val="0"/>
        <w:autoSpaceDN w:val="0"/>
        <w:adjustRightInd w:val="0"/>
        <w:spacing w:after="0" w:line="240" w:lineRule="auto"/>
        <w:rPr>
          <w:rFonts w:ascii="Cambria" w:hAnsi="Cambria" w:cs="Cambria"/>
          <w:color w:val="000000"/>
          <w:sz w:val="19"/>
          <w:szCs w:val="19"/>
        </w:rPr>
      </w:pPr>
      <w:r>
        <w:rPr>
          <w:rFonts w:ascii="Cambria" w:hAnsi="Cambria" w:cs="Cambria"/>
          <w:color w:val="0000FF"/>
          <w:sz w:val="19"/>
          <w:szCs w:val="19"/>
        </w:rPr>
        <w:t>U-2</w:t>
      </w:r>
      <w:r>
        <w:rPr>
          <w:rFonts w:ascii="Cambria" w:hAnsi="Cambria" w:cs="Cambria"/>
          <w:color w:val="000000"/>
          <w:sz w:val="19"/>
          <w:szCs w:val="19"/>
        </w:rPr>
        <w:t>) shall be established in accordance with the requirements</w:t>
      </w:r>
    </w:p>
    <w:p w:rsidR="000F01FB" w:rsidRDefault="000F01FB" w:rsidP="000F01FB">
      <w:pPr>
        <w:autoSpaceDE w:val="0"/>
        <w:autoSpaceDN w:val="0"/>
        <w:adjustRightInd w:val="0"/>
        <w:spacing w:after="0" w:line="240" w:lineRule="auto"/>
        <w:rPr>
          <w:rFonts w:ascii="Cambria" w:hAnsi="Cambria" w:cs="Cambria"/>
          <w:color w:val="000000"/>
          <w:sz w:val="19"/>
          <w:szCs w:val="19"/>
        </w:rPr>
      </w:pPr>
      <w:proofErr w:type="gramStart"/>
      <w:r>
        <w:rPr>
          <w:rFonts w:ascii="Cambria" w:hAnsi="Cambria" w:cs="Cambria"/>
          <w:color w:val="000000"/>
          <w:sz w:val="19"/>
          <w:szCs w:val="19"/>
        </w:rPr>
        <w:t>of</w:t>
      </w:r>
      <w:proofErr w:type="gramEnd"/>
      <w:r>
        <w:rPr>
          <w:rFonts w:ascii="Cambria" w:hAnsi="Cambria" w:cs="Cambria"/>
          <w:color w:val="000000"/>
          <w:sz w:val="19"/>
          <w:szCs w:val="19"/>
        </w:rPr>
        <w:t xml:space="preserve"> this paragraph, using one of the test procedures</w:t>
      </w:r>
    </w:p>
    <w:p w:rsidR="000F01FB" w:rsidRDefault="000F01FB" w:rsidP="000F01FB">
      <w:pPr>
        <w:autoSpaceDE w:val="0"/>
        <w:autoSpaceDN w:val="0"/>
        <w:adjustRightInd w:val="0"/>
        <w:spacing w:after="0" w:line="240" w:lineRule="auto"/>
        <w:rPr>
          <w:rFonts w:ascii="Cambria" w:hAnsi="Cambria" w:cs="Cambria"/>
          <w:color w:val="000000"/>
          <w:sz w:val="19"/>
          <w:szCs w:val="19"/>
        </w:rPr>
      </w:pPr>
      <w:proofErr w:type="gramStart"/>
      <w:r>
        <w:rPr>
          <w:rFonts w:ascii="Cambria" w:hAnsi="Cambria" w:cs="Cambria"/>
          <w:color w:val="000000"/>
          <w:sz w:val="19"/>
          <w:szCs w:val="19"/>
        </w:rPr>
        <w:t>applicable</w:t>
      </w:r>
      <w:proofErr w:type="gramEnd"/>
      <w:r>
        <w:rPr>
          <w:rFonts w:ascii="Cambria" w:hAnsi="Cambria" w:cs="Cambria"/>
          <w:color w:val="000000"/>
          <w:sz w:val="19"/>
          <w:szCs w:val="19"/>
        </w:rPr>
        <w:t xml:space="preserve"> to the type of loading and to the material used</w:t>
      </w:r>
    </w:p>
    <w:p w:rsidR="000F01FB" w:rsidRDefault="000F01FB" w:rsidP="000F01FB">
      <w:pPr>
        <w:autoSpaceDE w:val="0"/>
        <w:autoSpaceDN w:val="0"/>
        <w:adjustRightInd w:val="0"/>
        <w:spacing w:after="0" w:line="240" w:lineRule="auto"/>
        <w:rPr>
          <w:rFonts w:ascii="Cambria" w:hAnsi="Cambria" w:cs="Cambria"/>
          <w:color w:val="000000"/>
          <w:sz w:val="19"/>
          <w:szCs w:val="19"/>
        </w:rPr>
      </w:pPr>
      <w:proofErr w:type="gramStart"/>
      <w:r>
        <w:rPr>
          <w:rFonts w:ascii="Cambria" w:hAnsi="Cambria" w:cs="Cambria"/>
          <w:color w:val="000000"/>
          <w:sz w:val="19"/>
          <w:szCs w:val="19"/>
        </w:rPr>
        <w:t>in</w:t>
      </w:r>
      <w:proofErr w:type="gramEnd"/>
      <w:r>
        <w:rPr>
          <w:rFonts w:ascii="Cambria" w:hAnsi="Cambria" w:cs="Cambria"/>
          <w:color w:val="000000"/>
          <w:sz w:val="19"/>
          <w:szCs w:val="19"/>
        </w:rPr>
        <w:t xml:space="preserve"> construction. Production vessels or vessel parts that</w:t>
      </w:r>
    </w:p>
    <w:p w:rsidR="000F01FB" w:rsidRDefault="000F01FB" w:rsidP="000F01FB">
      <w:pPr>
        <w:autoSpaceDE w:val="0"/>
        <w:autoSpaceDN w:val="0"/>
        <w:adjustRightInd w:val="0"/>
        <w:spacing w:after="0" w:line="240" w:lineRule="auto"/>
        <w:rPr>
          <w:rFonts w:ascii="Cambria" w:hAnsi="Cambria" w:cs="Cambria"/>
          <w:color w:val="000000"/>
          <w:sz w:val="19"/>
          <w:szCs w:val="19"/>
        </w:rPr>
      </w:pPr>
      <w:proofErr w:type="gramStart"/>
      <w:r>
        <w:rPr>
          <w:rFonts w:ascii="Cambria" w:hAnsi="Cambria" w:cs="Cambria"/>
          <w:color w:val="000000"/>
          <w:sz w:val="19"/>
          <w:szCs w:val="19"/>
        </w:rPr>
        <w:t>utilize</w:t>
      </w:r>
      <w:proofErr w:type="gramEnd"/>
      <w:r>
        <w:rPr>
          <w:rFonts w:ascii="Cambria" w:hAnsi="Cambria" w:cs="Cambria"/>
          <w:color w:val="000000"/>
          <w:sz w:val="19"/>
          <w:szCs w:val="19"/>
        </w:rPr>
        <w:t xml:space="preserve"> the results of a proof test shall comply with all applicable</w:t>
      </w:r>
    </w:p>
    <w:p w:rsidR="000F01FB" w:rsidRDefault="000F01FB" w:rsidP="000F01FB">
      <w:pPr>
        <w:autoSpaceDE w:val="0"/>
        <w:autoSpaceDN w:val="0"/>
        <w:adjustRightInd w:val="0"/>
        <w:spacing w:after="0" w:line="240" w:lineRule="auto"/>
        <w:rPr>
          <w:rFonts w:ascii="Cambria" w:hAnsi="Cambria" w:cs="Cambria"/>
          <w:color w:val="000000"/>
          <w:sz w:val="19"/>
          <w:szCs w:val="19"/>
        </w:rPr>
      </w:pPr>
      <w:proofErr w:type="gramStart"/>
      <w:r>
        <w:rPr>
          <w:rFonts w:ascii="Cambria" w:hAnsi="Cambria" w:cs="Cambria"/>
          <w:color w:val="000000"/>
          <w:sz w:val="19"/>
          <w:szCs w:val="19"/>
        </w:rPr>
        <w:t>construction</w:t>
      </w:r>
      <w:proofErr w:type="gramEnd"/>
      <w:r>
        <w:rPr>
          <w:rFonts w:ascii="Cambria" w:hAnsi="Cambria" w:cs="Cambria"/>
          <w:color w:val="000000"/>
          <w:sz w:val="19"/>
          <w:szCs w:val="19"/>
        </w:rPr>
        <w:t xml:space="preserve"> rules of the current edition and applicable</w:t>
      </w:r>
    </w:p>
    <w:p w:rsidR="000F01FB" w:rsidRDefault="000F01FB" w:rsidP="000F01FB">
      <w:pPr>
        <w:autoSpaceDE w:val="0"/>
        <w:autoSpaceDN w:val="0"/>
        <w:adjustRightInd w:val="0"/>
        <w:spacing w:after="0" w:line="240" w:lineRule="auto"/>
        <w:rPr>
          <w:rFonts w:ascii="Cambria" w:hAnsi="Cambria" w:cs="Cambria"/>
          <w:color w:val="000000"/>
          <w:sz w:val="19"/>
          <w:szCs w:val="19"/>
        </w:rPr>
      </w:pPr>
      <w:proofErr w:type="gramStart"/>
      <w:r>
        <w:rPr>
          <w:rFonts w:ascii="Cambria" w:hAnsi="Cambria" w:cs="Cambria"/>
          <w:color w:val="000000"/>
          <w:sz w:val="19"/>
          <w:szCs w:val="19"/>
        </w:rPr>
        <w:t>addenda</w:t>
      </w:r>
      <w:proofErr w:type="gramEnd"/>
      <w:r>
        <w:rPr>
          <w:rFonts w:ascii="Cambria" w:hAnsi="Cambria" w:cs="Cambria"/>
          <w:color w:val="000000"/>
          <w:sz w:val="19"/>
          <w:szCs w:val="19"/>
        </w:rPr>
        <w:t xml:space="preserve"> of this Division.</w:t>
      </w:r>
    </w:p>
    <w:p w:rsidR="000F01FB" w:rsidRDefault="000F01FB" w:rsidP="000F01FB">
      <w:pPr>
        <w:autoSpaceDE w:val="0"/>
        <w:autoSpaceDN w:val="0"/>
        <w:adjustRightInd w:val="0"/>
        <w:spacing w:after="0" w:line="240" w:lineRule="auto"/>
        <w:rPr>
          <w:rFonts w:ascii="Cambria" w:hAnsi="Cambria" w:cs="Cambria"/>
          <w:color w:val="000000"/>
          <w:sz w:val="19"/>
          <w:szCs w:val="19"/>
        </w:rPr>
      </w:pPr>
      <w:r>
        <w:rPr>
          <w:rFonts w:ascii="CambriaItalic" w:hAnsi="CambriaItalic" w:cs="CambriaItalic"/>
          <w:i/>
          <w:iCs/>
          <w:color w:val="000000"/>
          <w:sz w:val="19"/>
          <w:szCs w:val="19"/>
        </w:rPr>
        <w:t xml:space="preserve">(-a) </w:t>
      </w:r>
      <w:r>
        <w:rPr>
          <w:rFonts w:ascii="Cambria" w:hAnsi="Cambria" w:cs="Cambria"/>
          <w:color w:val="000000"/>
          <w:sz w:val="19"/>
          <w:szCs w:val="19"/>
        </w:rPr>
        <w:t>Consideration of the use of proof</w:t>
      </w:r>
      <w:r>
        <w:rPr>
          <w:rFonts w:ascii="Cambria+20" w:eastAsia="Cambria+20" w:hAnsi="Ronnia-Bold" w:cs="Cambria+20" w:hint="eastAsia"/>
          <w:color w:val="000000"/>
          <w:sz w:val="19"/>
          <w:szCs w:val="19"/>
        </w:rPr>
        <w:t>‐</w:t>
      </w:r>
      <w:r>
        <w:rPr>
          <w:rFonts w:ascii="Cambria" w:hAnsi="Cambria" w:cs="Cambria"/>
          <w:color w:val="000000"/>
          <w:sz w:val="19"/>
          <w:szCs w:val="19"/>
        </w:rPr>
        <w:t>tested construction</w:t>
      </w:r>
    </w:p>
    <w:p w:rsidR="000F01FB" w:rsidRDefault="000F01FB" w:rsidP="000F01FB">
      <w:pPr>
        <w:autoSpaceDE w:val="0"/>
        <w:autoSpaceDN w:val="0"/>
        <w:adjustRightInd w:val="0"/>
        <w:spacing w:after="0" w:line="240" w:lineRule="auto"/>
        <w:rPr>
          <w:rFonts w:ascii="Cambria" w:hAnsi="Cambria" w:cs="Cambria"/>
          <w:color w:val="000000"/>
          <w:sz w:val="19"/>
          <w:szCs w:val="19"/>
        </w:rPr>
      </w:pPr>
      <w:proofErr w:type="gramStart"/>
      <w:r>
        <w:rPr>
          <w:rFonts w:ascii="Cambria" w:hAnsi="Cambria" w:cs="Cambria"/>
          <w:color w:val="000000"/>
          <w:sz w:val="19"/>
          <w:szCs w:val="19"/>
        </w:rPr>
        <w:t>specifications</w:t>
      </w:r>
      <w:proofErr w:type="gramEnd"/>
      <w:r>
        <w:rPr>
          <w:rFonts w:ascii="Cambria" w:hAnsi="Cambria" w:cs="Cambria"/>
          <w:color w:val="000000"/>
          <w:sz w:val="19"/>
          <w:szCs w:val="19"/>
        </w:rPr>
        <w:t xml:space="preserve"> based on past editions of this Division</w:t>
      </w:r>
    </w:p>
    <w:p w:rsidR="000F01FB" w:rsidRDefault="000F01FB" w:rsidP="000F01FB">
      <w:pPr>
        <w:autoSpaceDE w:val="0"/>
        <w:autoSpaceDN w:val="0"/>
        <w:adjustRightInd w:val="0"/>
        <w:spacing w:after="0" w:line="240" w:lineRule="auto"/>
        <w:rPr>
          <w:rFonts w:ascii="Cambria" w:hAnsi="Cambria" w:cs="Cambria"/>
          <w:color w:val="000000"/>
          <w:sz w:val="19"/>
          <w:szCs w:val="19"/>
        </w:rPr>
      </w:pPr>
      <w:proofErr w:type="gramStart"/>
      <w:r>
        <w:rPr>
          <w:rFonts w:ascii="Cambria" w:hAnsi="Cambria" w:cs="Cambria"/>
          <w:color w:val="000000"/>
          <w:sz w:val="19"/>
          <w:szCs w:val="19"/>
        </w:rPr>
        <w:t>and</w:t>
      </w:r>
      <w:proofErr w:type="gramEnd"/>
      <w:r>
        <w:rPr>
          <w:rFonts w:ascii="Cambria" w:hAnsi="Cambria" w:cs="Cambria"/>
          <w:color w:val="000000"/>
          <w:sz w:val="19"/>
          <w:szCs w:val="19"/>
        </w:rPr>
        <w:t xml:space="preserve"> documented in the original Proof Test Report</w:t>
      </w:r>
    </w:p>
    <w:p w:rsidR="000F01FB" w:rsidRDefault="000F01FB" w:rsidP="000F01FB">
      <w:pPr>
        <w:autoSpaceDE w:val="0"/>
        <w:autoSpaceDN w:val="0"/>
        <w:adjustRightInd w:val="0"/>
        <w:spacing w:after="0" w:line="240" w:lineRule="auto"/>
        <w:rPr>
          <w:rFonts w:ascii="Cambria" w:hAnsi="Cambria" w:cs="Cambria"/>
          <w:color w:val="000000"/>
          <w:sz w:val="19"/>
          <w:szCs w:val="19"/>
        </w:rPr>
      </w:pPr>
      <w:proofErr w:type="gramStart"/>
      <w:r>
        <w:rPr>
          <w:rFonts w:ascii="Cambria" w:hAnsi="Cambria" w:cs="Cambria"/>
          <w:color w:val="000000"/>
          <w:sz w:val="19"/>
          <w:szCs w:val="19"/>
        </w:rPr>
        <w:t>requires</w:t>
      </w:r>
      <w:proofErr w:type="gramEnd"/>
      <w:r>
        <w:rPr>
          <w:rFonts w:ascii="Cambria" w:hAnsi="Cambria" w:cs="Cambria"/>
          <w:color w:val="000000"/>
          <w:sz w:val="19"/>
          <w:szCs w:val="19"/>
        </w:rPr>
        <w:t xml:space="preserve"> that the Manufacturer determine whether or</w:t>
      </w:r>
    </w:p>
    <w:p w:rsidR="000F01FB" w:rsidRDefault="000F01FB" w:rsidP="000F01FB">
      <w:pPr>
        <w:autoSpaceDE w:val="0"/>
        <w:autoSpaceDN w:val="0"/>
        <w:adjustRightInd w:val="0"/>
        <w:spacing w:after="0" w:line="240" w:lineRule="auto"/>
        <w:rPr>
          <w:rFonts w:ascii="Cambria" w:hAnsi="Cambria" w:cs="Cambria"/>
          <w:color w:val="000000"/>
          <w:sz w:val="19"/>
          <w:szCs w:val="19"/>
        </w:rPr>
      </w:pPr>
      <w:proofErr w:type="gramStart"/>
      <w:r>
        <w:rPr>
          <w:rFonts w:ascii="Cambria" w:hAnsi="Cambria" w:cs="Cambria"/>
          <w:color w:val="000000"/>
          <w:sz w:val="19"/>
          <w:szCs w:val="19"/>
        </w:rPr>
        <w:t>not</w:t>
      </w:r>
      <w:proofErr w:type="gramEnd"/>
      <w:r>
        <w:rPr>
          <w:rFonts w:ascii="Cambria" w:hAnsi="Cambria" w:cs="Cambria"/>
          <w:color w:val="000000"/>
          <w:sz w:val="19"/>
          <w:szCs w:val="19"/>
        </w:rPr>
        <w:t xml:space="preserve"> there have been subsequent revisions to this Division</w:t>
      </w:r>
    </w:p>
    <w:p w:rsidR="000F01FB" w:rsidRDefault="000F01FB" w:rsidP="000F01FB">
      <w:pPr>
        <w:autoSpaceDE w:val="0"/>
        <w:autoSpaceDN w:val="0"/>
        <w:adjustRightInd w:val="0"/>
        <w:spacing w:after="0" w:line="240" w:lineRule="auto"/>
        <w:rPr>
          <w:rFonts w:ascii="Cambria" w:hAnsi="Cambria" w:cs="Cambria"/>
          <w:color w:val="000000"/>
          <w:sz w:val="19"/>
          <w:szCs w:val="19"/>
        </w:rPr>
      </w:pPr>
      <w:proofErr w:type="gramStart"/>
      <w:r>
        <w:rPr>
          <w:rFonts w:ascii="Cambria" w:hAnsi="Cambria" w:cs="Cambria"/>
          <w:color w:val="000000"/>
          <w:sz w:val="19"/>
          <w:szCs w:val="19"/>
        </w:rPr>
        <w:t>that</w:t>
      </w:r>
      <w:proofErr w:type="gramEnd"/>
      <w:r>
        <w:rPr>
          <w:rFonts w:ascii="Cambria" w:hAnsi="Cambria" w:cs="Cambria"/>
          <w:color w:val="000000"/>
          <w:sz w:val="19"/>
          <w:szCs w:val="19"/>
        </w:rPr>
        <w:t xml:space="preserve"> apply and must be evaluated. This evaluation may</w:t>
      </w:r>
    </w:p>
    <w:p w:rsidR="000F01FB" w:rsidRDefault="000F01FB" w:rsidP="000F01FB">
      <w:pPr>
        <w:autoSpaceDE w:val="0"/>
        <w:autoSpaceDN w:val="0"/>
        <w:adjustRightInd w:val="0"/>
        <w:spacing w:after="0" w:line="240" w:lineRule="auto"/>
        <w:rPr>
          <w:rFonts w:ascii="Cambria" w:hAnsi="Cambria" w:cs="Cambria"/>
          <w:color w:val="000000"/>
          <w:sz w:val="19"/>
          <w:szCs w:val="19"/>
        </w:rPr>
      </w:pPr>
      <w:proofErr w:type="gramStart"/>
      <w:r>
        <w:rPr>
          <w:rFonts w:ascii="Cambria" w:hAnsi="Cambria" w:cs="Cambria"/>
          <w:color w:val="000000"/>
          <w:sz w:val="19"/>
          <w:szCs w:val="19"/>
        </w:rPr>
        <w:t>void</w:t>
      </w:r>
      <w:proofErr w:type="gramEnd"/>
      <w:r>
        <w:rPr>
          <w:rFonts w:ascii="Cambria" w:hAnsi="Cambria" w:cs="Cambria"/>
          <w:color w:val="000000"/>
          <w:sz w:val="19"/>
          <w:szCs w:val="19"/>
        </w:rPr>
        <w:t xml:space="preserve"> the Division acceptability of establishing the vessel</w:t>
      </w:r>
    </w:p>
    <w:p w:rsidR="000F01FB" w:rsidRDefault="000F01FB" w:rsidP="000F01FB">
      <w:pPr>
        <w:autoSpaceDE w:val="0"/>
        <w:autoSpaceDN w:val="0"/>
        <w:adjustRightInd w:val="0"/>
        <w:spacing w:after="0" w:line="240" w:lineRule="auto"/>
        <w:rPr>
          <w:rFonts w:ascii="Cambria" w:hAnsi="Cambria" w:cs="Cambria"/>
          <w:color w:val="0000FF"/>
          <w:sz w:val="19"/>
          <w:szCs w:val="19"/>
        </w:rPr>
      </w:pPr>
      <w:r>
        <w:rPr>
          <w:rFonts w:ascii="Cambria" w:hAnsi="Cambria" w:cs="Cambria"/>
          <w:color w:val="000000"/>
          <w:sz w:val="19"/>
          <w:szCs w:val="19"/>
        </w:rPr>
        <w:t xml:space="preserve">MAWP by proof testing (e.g., </w:t>
      </w:r>
      <w:r>
        <w:rPr>
          <w:rFonts w:ascii="Cambria" w:hAnsi="Cambria" w:cs="Cambria"/>
          <w:color w:val="0000FF"/>
          <w:sz w:val="19"/>
          <w:szCs w:val="19"/>
        </w:rPr>
        <w:t>UCS-66</w:t>
      </w:r>
      <w:r>
        <w:rPr>
          <w:rFonts w:ascii="Cambria" w:hAnsi="Cambria" w:cs="Cambria"/>
          <w:color w:val="000000"/>
          <w:sz w:val="19"/>
          <w:szCs w:val="19"/>
        </w:rPr>
        <w:t xml:space="preserve">, </w:t>
      </w:r>
      <w:r>
        <w:rPr>
          <w:rFonts w:ascii="Cambria" w:hAnsi="Cambria" w:cs="Cambria"/>
          <w:color w:val="0000FF"/>
          <w:sz w:val="19"/>
          <w:szCs w:val="19"/>
        </w:rPr>
        <w:t>Part UHX</w:t>
      </w:r>
      <w:r>
        <w:rPr>
          <w:rFonts w:ascii="Cambria" w:hAnsi="Cambria" w:cs="Cambria"/>
          <w:color w:val="000000"/>
          <w:sz w:val="19"/>
          <w:szCs w:val="19"/>
        </w:rPr>
        <w:t xml:space="preserve">, </w:t>
      </w:r>
      <w:r>
        <w:rPr>
          <w:rFonts w:ascii="Cambria" w:hAnsi="Cambria" w:cs="Cambria"/>
          <w:color w:val="0000FF"/>
          <w:sz w:val="19"/>
          <w:szCs w:val="19"/>
        </w:rPr>
        <w:t>Mandatory</w:t>
      </w:r>
    </w:p>
    <w:p w:rsidR="000F01FB" w:rsidRDefault="000F01FB" w:rsidP="000F01FB">
      <w:pPr>
        <w:autoSpaceDE w:val="0"/>
        <w:autoSpaceDN w:val="0"/>
        <w:adjustRightInd w:val="0"/>
        <w:spacing w:after="0" w:line="240" w:lineRule="auto"/>
        <w:rPr>
          <w:rFonts w:ascii="Cambria" w:hAnsi="Cambria" w:cs="Cambria"/>
          <w:color w:val="000000"/>
          <w:sz w:val="19"/>
          <w:szCs w:val="19"/>
        </w:rPr>
      </w:pPr>
      <w:r>
        <w:rPr>
          <w:rFonts w:ascii="Cambria" w:hAnsi="Cambria" w:cs="Cambria"/>
          <w:color w:val="0000FF"/>
          <w:sz w:val="19"/>
          <w:szCs w:val="19"/>
        </w:rPr>
        <w:t>Appendix 13</w:t>
      </w:r>
      <w:r>
        <w:rPr>
          <w:rFonts w:ascii="Cambria" w:hAnsi="Cambria" w:cs="Cambria"/>
          <w:color w:val="000000"/>
          <w:sz w:val="19"/>
          <w:szCs w:val="19"/>
        </w:rPr>
        <w:t>, etc.). However, if applicable revisions</w:t>
      </w:r>
    </w:p>
    <w:p w:rsidR="000F01FB" w:rsidRDefault="000F01FB" w:rsidP="000F01FB">
      <w:pPr>
        <w:autoSpaceDE w:val="0"/>
        <w:autoSpaceDN w:val="0"/>
        <w:adjustRightInd w:val="0"/>
        <w:spacing w:after="0" w:line="240" w:lineRule="auto"/>
        <w:rPr>
          <w:rFonts w:ascii="Cambria" w:hAnsi="Cambria" w:cs="Cambria"/>
          <w:color w:val="000000"/>
          <w:sz w:val="19"/>
          <w:szCs w:val="19"/>
        </w:rPr>
      </w:pPr>
      <w:proofErr w:type="gramStart"/>
      <w:r>
        <w:rPr>
          <w:rFonts w:ascii="Cambria" w:hAnsi="Cambria" w:cs="Cambria"/>
          <w:color w:val="000000"/>
          <w:sz w:val="19"/>
          <w:szCs w:val="19"/>
        </w:rPr>
        <w:t>are</w:t>
      </w:r>
      <w:proofErr w:type="gramEnd"/>
      <w:r>
        <w:rPr>
          <w:rFonts w:ascii="Cambria" w:hAnsi="Cambria" w:cs="Cambria"/>
          <w:color w:val="000000"/>
          <w:sz w:val="19"/>
          <w:szCs w:val="19"/>
        </w:rPr>
        <w:t xml:space="preserve"> found, and it is judged that a new proof test is not required,</w:t>
      </w:r>
    </w:p>
    <w:p w:rsidR="000F01FB" w:rsidRDefault="000F01FB" w:rsidP="000F01FB">
      <w:pPr>
        <w:autoSpaceDE w:val="0"/>
        <w:autoSpaceDN w:val="0"/>
        <w:adjustRightInd w:val="0"/>
        <w:spacing w:after="0" w:line="240" w:lineRule="auto"/>
        <w:rPr>
          <w:rFonts w:ascii="Cambria" w:hAnsi="Cambria" w:cs="Cambria"/>
          <w:color w:val="000000"/>
          <w:sz w:val="19"/>
          <w:szCs w:val="19"/>
        </w:rPr>
      </w:pPr>
      <w:proofErr w:type="gramStart"/>
      <w:r>
        <w:rPr>
          <w:rFonts w:ascii="Cambria" w:hAnsi="Cambria" w:cs="Cambria"/>
          <w:color w:val="000000"/>
          <w:sz w:val="19"/>
          <w:szCs w:val="19"/>
        </w:rPr>
        <w:t>the</w:t>
      </w:r>
      <w:proofErr w:type="gramEnd"/>
      <w:r>
        <w:rPr>
          <w:rFonts w:ascii="Cambria" w:hAnsi="Cambria" w:cs="Cambria"/>
          <w:color w:val="000000"/>
          <w:sz w:val="19"/>
          <w:szCs w:val="19"/>
        </w:rPr>
        <w:t xml:space="preserve"> Manufacturer, using Duplicate and Similar</w:t>
      </w:r>
    </w:p>
    <w:p w:rsidR="000F01FB" w:rsidRDefault="000F01FB" w:rsidP="000F01FB">
      <w:pPr>
        <w:autoSpaceDE w:val="0"/>
        <w:autoSpaceDN w:val="0"/>
        <w:adjustRightInd w:val="0"/>
        <w:spacing w:after="0" w:line="240" w:lineRule="auto"/>
        <w:rPr>
          <w:rFonts w:ascii="Cambria" w:hAnsi="Cambria" w:cs="Cambria"/>
          <w:color w:val="000000"/>
          <w:sz w:val="19"/>
          <w:szCs w:val="19"/>
        </w:rPr>
      </w:pPr>
      <w:r>
        <w:rPr>
          <w:rFonts w:ascii="Cambria" w:hAnsi="Cambria" w:cs="Cambria"/>
          <w:color w:val="000000"/>
          <w:sz w:val="19"/>
          <w:szCs w:val="19"/>
        </w:rPr>
        <w:t xml:space="preserve">Parts rules in </w:t>
      </w:r>
      <w:r>
        <w:rPr>
          <w:rFonts w:ascii="Cambria" w:hAnsi="Cambria" w:cs="Cambria"/>
          <w:color w:val="0000FF"/>
          <w:sz w:val="19"/>
          <w:szCs w:val="19"/>
        </w:rPr>
        <w:t xml:space="preserve">(d) </w:t>
      </w:r>
      <w:r>
        <w:rPr>
          <w:rFonts w:ascii="Cambria" w:hAnsi="Cambria" w:cs="Cambria"/>
          <w:color w:val="000000"/>
          <w:sz w:val="19"/>
          <w:szCs w:val="19"/>
        </w:rPr>
        <w:t>as guidelines, shall prepare a Supplement</w:t>
      </w:r>
    </w:p>
    <w:p w:rsidR="000F01FB" w:rsidRDefault="000F01FB" w:rsidP="000F01FB">
      <w:pPr>
        <w:autoSpaceDE w:val="0"/>
        <w:autoSpaceDN w:val="0"/>
        <w:adjustRightInd w:val="0"/>
        <w:spacing w:after="0" w:line="240" w:lineRule="auto"/>
        <w:rPr>
          <w:rFonts w:ascii="Cambria" w:hAnsi="Cambria" w:cs="Cambria"/>
          <w:color w:val="000000"/>
          <w:sz w:val="19"/>
          <w:szCs w:val="19"/>
        </w:rPr>
      </w:pPr>
      <w:proofErr w:type="gramStart"/>
      <w:r>
        <w:rPr>
          <w:rFonts w:ascii="Cambria" w:hAnsi="Cambria" w:cs="Cambria"/>
          <w:color w:val="000000"/>
          <w:sz w:val="19"/>
          <w:szCs w:val="19"/>
        </w:rPr>
        <w:t>to</w:t>
      </w:r>
      <w:proofErr w:type="gramEnd"/>
      <w:r>
        <w:rPr>
          <w:rFonts w:ascii="Cambria" w:hAnsi="Cambria" w:cs="Cambria"/>
          <w:color w:val="000000"/>
          <w:sz w:val="19"/>
          <w:szCs w:val="19"/>
        </w:rPr>
        <w:t xml:space="preserve"> the original Proof Test Report documenting any</w:t>
      </w:r>
    </w:p>
    <w:p w:rsidR="000F01FB" w:rsidRDefault="000F01FB" w:rsidP="000F01FB">
      <w:pPr>
        <w:autoSpaceDE w:val="0"/>
        <w:autoSpaceDN w:val="0"/>
        <w:adjustRightInd w:val="0"/>
        <w:spacing w:after="0" w:line="240" w:lineRule="auto"/>
        <w:rPr>
          <w:rFonts w:ascii="Cambria" w:hAnsi="Cambria" w:cs="Cambria"/>
          <w:color w:val="000000"/>
          <w:sz w:val="19"/>
          <w:szCs w:val="19"/>
        </w:rPr>
      </w:pPr>
      <w:proofErr w:type="gramStart"/>
      <w:r>
        <w:rPr>
          <w:rFonts w:ascii="Cambria" w:hAnsi="Cambria" w:cs="Cambria"/>
          <w:color w:val="000000"/>
          <w:sz w:val="19"/>
          <w:szCs w:val="19"/>
        </w:rPr>
        <w:t>changes</w:t>
      </w:r>
      <w:proofErr w:type="gramEnd"/>
      <w:r>
        <w:rPr>
          <w:rFonts w:ascii="Cambria" w:hAnsi="Cambria" w:cs="Cambria"/>
          <w:color w:val="000000"/>
          <w:sz w:val="19"/>
          <w:szCs w:val="19"/>
        </w:rPr>
        <w:t xml:space="preserve"> to the construction requirements and to the Manufacturer</w:t>
      </w:r>
      <w:r>
        <w:rPr>
          <w:rFonts w:ascii="Cambria+20" w:eastAsia="Cambria+20" w:hAnsi="Ronnia-Bold" w:cs="Cambria+20" w:hint="eastAsia"/>
          <w:color w:val="000000"/>
          <w:sz w:val="19"/>
          <w:szCs w:val="19"/>
        </w:rPr>
        <w:t>’</w:t>
      </w:r>
      <w:r>
        <w:rPr>
          <w:rFonts w:ascii="Cambria" w:hAnsi="Cambria" w:cs="Cambria"/>
          <w:color w:val="000000"/>
          <w:sz w:val="19"/>
          <w:szCs w:val="19"/>
        </w:rPr>
        <w:t>s</w:t>
      </w:r>
    </w:p>
    <w:p w:rsidR="000F01FB" w:rsidRDefault="000F01FB" w:rsidP="000F01FB">
      <w:pPr>
        <w:autoSpaceDE w:val="0"/>
        <w:autoSpaceDN w:val="0"/>
        <w:adjustRightInd w:val="0"/>
        <w:spacing w:after="0" w:line="240" w:lineRule="auto"/>
        <w:rPr>
          <w:rFonts w:ascii="Cambria" w:hAnsi="Cambria" w:cs="Cambria"/>
          <w:color w:val="000000"/>
          <w:sz w:val="19"/>
          <w:szCs w:val="19"/>
        </w:rPr>
      </w:pPr>
      <w:r>
        <w:rPr>
          <w:rFonts w:ascii="Cambria" w:hAnsi="Cambria" w:cs="Cambria"/>
          <w:color w:val="000000"/>
          <w:sz w:val="19"/>
          <w:szCs w:val="19"/>
        </w:rPr>
        <w:t>Data Report. The following should be noted:</w:t>
      </w:r>
    </w:p>
    <w:p w:rsidR="000F01FB" w:rsidRDefault="000F01FB" w:rsidP="000F01FB">
      <w:pPr>
        <w:autoSpaceDE w:val="0"/>
        <w:autoSpaceDN w:val="0"/>
        <w:adjustRightInd w:val="0"/>
        <w:spacing w:after="0" w:line="240" w:lineRule="auto"/>
        <w:rPr>
          <w:rFonts w:ascii="Cambria" w:hAnsi="Cambria" w:cs="Cambria"/>
          <w:color w:val="000000"/>
          <w:sz w:val="19"/>
          <w:szCs w:val="19"/>
        </w:rPr>
      </w:pPr>
      <w:r>
        <w:rPr>
          <w:rFonts w:ascii="CambriaItalic" w:hAnsi="CambriaItalic" w:cs="CambriaItalic"/>
          <w:i/>
          <w:iCs/>
          <w:color w:val="000000"/>
          <w:sz w:val="19"/>
          <w:szCs w:val="19"/>
        </w:rPr>
        <w:t xml:space="preserve">(-1) </w:t>
      </w:r>
      <w:r>
        <w:rPr>
          <w:rFonts w:ascii="Cambria" w:hAnsi="Cambria" w:cs="Cambria"/>
          <w:color w:val="000000"/>
          <w:sz w:val="19"/>
          <w:szCs w:val="19"/>
        </w:rPr>
        <w:t>The production vessel material need not be</w:t>
      </w:r>
    </w:p>
    <w:p w:rsidR="000F01FB" w:rsidRDefault="000F01FB" w:rsidP="000F01FB">
      <w:pPr>
        <w:autoSpaceDE w:val="0"/>
        <w:autoSpaceDN w:val="0"/>
        <w:adjustRightInd w:val="0"/>
        <w:spacing w:after="0" w:line="240" w:lineRule="auto"/>
        <w:rPr>
          <w:rFonts w:ascii="Cambria" w:hAnsi="Cambria" w:cs="Cambria"/>
          <w:color w:val="000000"/>
          <w:sz w:val="19"/>
          <w:szCs w:val="19"/>
        </w:rPr>
      </w:pPr>
      <w:proofErr w:type="gramStart"/>
      <w:r>
        <w:rPr>
          <w:rFonts w:ascii="Cambria" w:hAnsi="Cambria" w:cs="Cambria"/>
          <w:color w:val="000000"/>
          <w:sz w:val="19"/>
          <w:szCs w:val="19"/>
        </w:rPr>
        <w:t>identical</w:t>
      </w:r>
      <w:proofErr w:type="gramEnd"/>
      <w:r>
        <w:rPr>
          <w:rFonts w:ascii="Cambria" w:hAnsi="Cambria" w:cs="Cambria"/>
          <w:color w:val="000000"/>
          <w:sz w:val="19"/>
          <w:szCs w:val="19"/>
        </w:rPr>
        <w:t xml:space="preserve"> with that used for the original proof tested vessel,</w:t>
      </w:r>
    </w:p>
    <w:p w:rsidR="00505352" w:rsidRDefault="000F01FB" w:rsidP="000F01FB">
      <w:pPr>
        <w:rPr>
          <w:rFonts w:ascii="Cambria" w:hAnsi="Cambria" w:cs="Cambria"/>
          <w:color w:val="000000"/>
          <w:sz w:val="19"/>
          <w:szCs w:val="19"/>
        </w:rPr>
      </w:pPr>
      <w:proofErr w:type="gramStart"/>
      <w:r>
        <w:rPr>
          <w:rFonts w:ascii="Cambria" w:hAnsi="Cambria" w:cs="Cambria"/>
          <w:color w:val="000000"/>
          <w:sz w:val="19"/>
          <w:szCs w:val="19"/>
        </w:rPr>
        <w:t>but</w:t>
      </w:r>
      <w:proofErr w:type="gramEnd"/>
      <w:r>
        <w:rPr>
          <w:rFonts w:ascii="Cambria" w:hAnsi="Cambria" w:cs="Cambria"/>
          <w:color w:val="000000"/>
          <w:sz w:val="19"/>
          <w:szCs w:val="19"/>
        </w:rPr>
        <w:t xml:space="preserve"> material </w:t>
      </w:r>
      <w:r>
        <w:rPr>
          <w:rFonts w:ascii="Cambria" w:hAnsi="Cambria" w:cs="Cambria"/>
          <w:sz w:val="19"/>
          <w:szCs w:val="19"/>
        </w:rPr>
        <w:t>equivalence must be confirmed and documented.</w:t>
      </w:r>
    </w:p>
    <w:p w:rsidR="000F01FB" w:rsidRDefault="000F01FB" w:rsidP="000F01FB">
      <w:pPr>
        <w:autoSpaceDE w:val="0"/>
        <w:autoSpaceDN w:val="0"/>
        <w:adjustRightInd w:val="0"/>
        <w:spacing w:after="0" w:line="240" w:lineRule="auto"/>
        <w:rPr>
          <w:rFonts w:ascii="Cambria" w:hAnsi="Cambria" w:cs="Cambria"/>
          <w:sz w:val="19"/>
          <w:szCs w:val="19"/>
        </w:rPr>
      </w:pPr>
      <w:r>
        <w:rPr>
          <w:rFonts w:ascii="CambriaItalic" w:hAnsi="CambriaItalic" w:cs="CambriaItalic"/>
          <w:i/>
          <w:iCs/>
          <w:sz w:val="19"/>
          <w:szCs w:val="19"/>
        </w:rPr>
        <w:t xml:space="preserve">(-2) </w:t>
      </w:r>
      <w:r>
        <w:rPr>
          <w:rFonts w:ascii="Cambria" w:hAnsi="Cambria" w:cs="Cambria"/>
          <w:sz w:val="19"/>
          <w:szCs w:val="19"/>
        </w:rPr>
        <w:t>The MDMT established by current Division</w:t>
      </w:r>
    </w:p>
    <w:p w:rsidR="000F01FB" w:rsidRDefault="000F01FB" w:rsidP="000F01FB">
      <w:pPr>
        <w:autoSpaceDE w:val="0"/>
        <w:autoSpaceDN w:val="0"/>
        <w:adjustRightInd w:val="0"/>
        <w:spacing w:after="0" w:line="240" w:lineRule="auto"/>
        <w:rPr>
          <w:rFonts w:ascii="Cambria" w:hAnsi="Cambria" w:cs="Cambria"/>
          <w:sz w:val="19"/>
          <w:szCs w:val="19"/>
        </w:rPr>
      </w:pPr>
      <w:proofErr w:type="gramStart"/>
      <w:r>
        <w:rPr>
          <w:rFonts w:ascii="Cambria" w:hAnsi="Cambria" w:cs="Cambria"/>
          <w:sz w:val="19"/>
          <w:szCs w:val="19"/>
        </w:rPr>
        <w:t>rules</w:t>
      </w:r>
      <w:proofErr w:type="gramEnd"/>
      <w:r>
        <w:rPr>
          <w:rFonts w:ascii="Cambria" w:hAnsi="Cambria" w:cs="Cambria"/>
          <w:sz w:val="19"/>
          <w:szCs w:val="19"/>
        </w:rPr>
        <w:t xml:space="preserve"> may be different from that originally assigned but</w:t>
      </w:r>
    </w:p>
    <w:p w:rsidR="000F01FB" w:rsidRDefault="000F01FB" w:rsidP="000F01FB">
      <w:pPr>
        <w:autoSpaceDE w:val="0"/>
        <w:autoSpaceDN w:val="0"/>
        <w:adjustRightInd w:val="0"/>
        <w:spacing w:after="0" w:line="240" w:lineRule="auto"/>
        <w:rPr>
          <w:rFonts w:ascii="Cambria" w:hAnsi="Cambria" w:cs="Cambria"/>
          <w:sz w:val="19"/>
          <w:szCs w:val="19"/>
        </w:rPr>
      </w:pPr>
      <w:proofErr w:type="gramStart"/>
      <w:r>
        <w:rPr>
          <w:rFonts w:ascii="Cambria" w:hAnsi="Cambria" w:cs="Cambria"/>
          <w:sz w:val="19"/>
          <w:szCs w:val="19"/>
        </w:rPr>
        <w:t>must</w:t>
      </w:r>
      <w:proofErr w:type="gramEnd"/>
      <w:r>
        <w:rPr>
          <w:rFonts w:ascii="Cambria" w:hAnsi="Cambria" w:cs="Cambria"/>
          <w:sz w:val="19"/>
          <w:szCs w:val="19"/>
        </w:rPr>
        <w:t xml:space="preserve"> be suitable for the nameplate MDMT marking coincident</w:t>
      </w:r>
    </w:p>
    <w:p w:rsidR="000F01FB" w:rsidRDefault="000F01FB" w:rsidP="000F01FB">
      <w:pPr>
        <w:autoSpaceDE w:val="0"/>
        <w:autoSpaceDN w:val="0"/>
        <w:adjustRightInd w:val="0"/>
        <w:spacing w:after="0" w:line="240" w:lineRule="auto"/>
        <w:rPr>
          <w:rFonts w:ascii="Cambria" w:hAnsi="Cambria" w:cs="Cambria"/>
          <w:sz w:val="19"/>
          <w:szCs w:val="19"/>
        </w:rPr>
      </w:pPr>
      <w:proofErr w:type="gramStart"/>
      <w:r>
        <w:rPr>
          <w:rFonts w:ascii="Cambria" w:hAnsi="Cambria" w:cs="Cambria"/>
          <w:sz w:val="19"/>
          <w:szCs w:val="19"/>
        </w:rPr>
        <w:t>with</w:t>
      </w:r>
      <w:proofErr w:type="gramEnd"/>
      <w:r>
        <w:rPr>
          <w:rFonts w:ascii="Cambria" w:hAnsi="Cambria" w:cs="Cambria"/>
          <w:sz w:val="19"/>
          <w:szCs w:val="19"/>
        </w:rPr>
        <w:t xml:space="preserve"> the established MAWP.</w:t>
      </w:r>
    </w:p>
    <w:p w:rsidR="000F01FB" w:rsidRDefault="000F01FB" w:rsidP="000F01FB">
      <w:pPr>
        <w:autoSpaceDE w:val="0"/>
        <w:autoSpaceDN w:val="0"/>
        <w:adjustRightInd w:val="0"/>
        <w:spacing w:after="0" w:line="240" w:lineRule="auto"/>
        <w:rPr>
          <w:rFonts w:ascii="Cambria" w:hAnsi="Cambria" w:cs="Cambria"/>
          <w:sz w:val="19"/>
          <w:szCs w:val="19"/>
        </w:rPr>
      </w:pPr>
      <w:r>
        <w:rPr>
          <w:rFonts w:ascii="CambriaItalic" w:hAnsi="CambriaItalic" w:cs="CambriaItalic"/>
          <w:i/>
          <w:iCs/>
          <w:sz w:val="19"/>
          <w:szCs w:val="19"/>
        </w:rPr>
        <w:t xml:space="preserve">(-3) </w:t>
      </w:r>
      <w:r>
        <w:rPr>
          <w:rFonts w:ascii="Cambria" w:hAnsi="Cambria" w:cs="Cambria"/>
          <w:sz w:val="19"/>
          <w:szCs w:val="19"/>
        </w:rPr>
        <w:t>The Supplement to the original Proof Test</w:t>
      </w:r>
    </w:p>
    <w:p w:rsidR="000F01FB" w:rsidRDefault="000F01FB" w:rsidP="000F01FB">
      <w:pPr>
        <w:autoSpaceDE w:val="0"/>
        <w:autoSpaceDN w:val="0"/>
        <w:adjustRightInd w:val="0"/>
        <w:spacing w:after="0" w:line="240" w:lineRule="auto"/>
        <w:rPr>
          <w:rFonts w:ascii="Cambria" w:hAnsi="Cambria" w:cs="Cambria"/>
          <w:sz w:val="19"/>
          <w:szCs w:val="19"/>
        </w:rPr>
      </w:pPr>
      <w:r>
        <w:rPr>
          <w:rFonts w:ascii="Cambria" w:hAnsi="Cambria" w:cs="Cambria"/>
          <w:sz w:val="19"/>
          <w:szCs w:val="19"/>
        </w:rPr>
        <w:t>Report shall be made available to the Inspector prior to</w:t>
      </w:r>
    </w:p>
    <w:p w:rsidR="000F01FB" w:rsidRDefault="000F01FB" w:rsidP="000F01FB">
      <w:pPr>
        <w:autoSpaceDE w:val="0"/>
        <w:autoSpaceDN w:val="0"/>
        <w:adjustRightInd w:val="0"/>
        <w:spacing w:after="0" w:line="240" w:lineRule="auto"/>
        <w:rPr>
          <w:rFonts w:ascii="Cambria" w:hAnsi="Cambria" w:cs="Cambria"/>
          <w:sz w:val="19"/>
          <w:szCs w:val="19"/>
        </w:rPr>
      </w:pPr>
      <w:proofErr w:type="gramStart"/>
      <w:r>
        <w:rPr>
          <w:rFonts w:ascii="Cambria" w:hAnsi="Cambria" w:cs="Cambria"/>
          <w:sz w:val="19"/>
          <w:szCs w:val="19"/>
        </w:rPr>
        <w:t>the</w:t>
      </w:r>
      <w:proofErr w:type="gramEnd"/>
      <w:r>
        <w:rPr>
          <w:rFonts w:ascii="Cambria" w:hAnsi="Cambria" w:cs="Cambria"/>
          <w:sz w:val="19"/>
          <w:szCs w:val="19"/>
        </w:rPr>
        <w:t xml:space="preserve"> start of construction.</w:t>
      </w:r>
    </w:p>
    <w:p w:rsidR="000F01FB" w:rsidRDefault="000F01FB" w:rsidP="000F01FB">
      <w:pPr>
        <w:autoSpaceDE w:val="0"/>
        <w:autoSpaceDN w:val="0"/>
        <w:adjustRightInd w:val="0"/>
        <w:spacing w:after="0" w:line="240" w:lineRule="auto"/>
        <w:rPr>
          <w:rFonts w:ascii="Cambria" w:hAnsi="Cambria" w:cs="Cambria"/>
          <w:sz w:val="19"/>
          <w:szCs w:val="19"/>
        </w:rPr>
      </w:pPr>
      <w:r>
        <w:rPr>
          <w:rFonts w:ascii="CambriaItalic" w:hAnsi="CambriaItalic" w:cs="CambriaItalic"/>
          <w:i/>
          <w:iCs/>
          <w:sz w:val="19"/>
          <w:szCs w:val="19"/>
        </w:rPr>
        <w:t xml:space="preserve">(2) </w:t>
      </w:r>
      <w:r>
        <w:rPr>
          <w:rFonts w:ascii="Cambria" w:hAnsi="Cambria" w:cs="Cambria"/>
          <w:sz w:val="19"/>
          <w:szCs w:val="19"/>
        </w:rPr>
        <w:t>Provision is made in these rules for two types of</w:t>
      </w:r>
    </w:p>
    <w:p w:rsidR="000F01FB" w:rsidRDefault="000F01FB" w:rsidP="000F01FB">
      <w:pPr>
        <w:autoSpaceDE w:val="0"/>
        <w:autoSpaceDN w:val="0"/>
        <w:adjustRightInd w:val="0"/>
        <w:spacing w:after="0" w:line="240" w:lineRule="auto"/>
        <w:rPr>
          <w:rFonts w:ascii="Cambria" w:hAnsi="Cambria" w:cs="Cambria"/>
          <w:sz w:val="19"/>
          <w:szCs w:val="19"/>
        </w:rPr>
      </w:pPr>
      <w:proofErr w:type="gramStart"/>
      <w:r>
        <w:rPr>
          <w:rFonts w:ascii="Cambria" w:hAnsi="Cambria" w:cs="Cambria"/>
          <w:sz w:val="19"/>
          <w:szCs w:val="19"/>
        </w:rPr>
        <w:t>tests</w:t>
      </w:r>
      <w:proofErr w:type="gramEnd"/>
      <w:r>
        <w:rPr>
          <w:rFonts w:ascii="Cambria" w:hAnsi="Cambria" w:cs="Cambria"/>
          <w:sz w:val="19"/>
          <w:szCs w:val="19"/>
        </w:rPr>
        <w:t xml:space="preserve"> to determine the internal maximum allowable working</w:t>
      </w:r>
    </w:p>
    <w:p w:rsidR="000F01FB" w:rsidRDefault="000F01FB" w:rsidP="000F01FB">
      <w:pPr>
        <w:autoSpaceDE w:val="0"/>
        <w:autoSpaceDN w:val="0"/>
        <w:adjustRightInd w:val="0"/>
        <w:spacing w:after="0" w:line="240" w:lineRule="auto"/>
        <w:rPr>
          <w:rFonts w:ascii="Cambria" w:hAnsi="Cambria" w:cs="Cambria"/>
          <w:sz w:val="19"/>
          <w:szCs w:val="19"/>
        </w:rPr>
      </w:pPr>
      <w:proofErr w:type="gramStart"/>
      <w:r>
        <w:rPr>
          <w:rFonts w:ascii="Cambria" w:hAnsi="Cambria" w:cs="Cambria"/>
          <w:sz w:val="19"/>
          <w:szCs w:val="19"/>
        </w:rPr>
        <w:t>pressure</w:t>
      </w:r>
      <w:proofErr w:type="gramEnd"/>
      <w:r>
        <w:rPr>
          <w:rFonts w:ascii="Cambria" w:hAnsi="Cambria" w:cs="Cambria"/>
          <w:sz w:val="19"/>
          <w:szCs w:val="19"/>
        </w:rPr>
        <w:t>:</w:t>
      </w:r>
    </w:p>
    <w:p w:rsidR="000F01FB" w:rsidRDefault="000F01FB" w:rsidP="000F01FB">
      <w:pPr>
        <w:autoSpaceDE w:val="0"/>
        <w:autoSpaceDN w:val="0"/>
        <w:adjustRightInd w:val="0"/>
        <w:spacing w:after="0" w:line="240" w:lineRule="auto"/>
        <w:rPr>
          <w:rFonts w:ascii="Cambria" w:hAnsi="Cambria" w:cs="Cambria"/>
          <w:sz w:val="19"/>
          <w:szCs w:val="19"/>
        </w:rPr>
      </w:pPr>
      <w:r>
        <w:rPr>
          <w:rFonts w:ascii="CambriaItalic" w:hAnsi="CambriaItalic" w:cs="CambriaItalic"/>
          <w:i/>
          <w:iCs/>
          <w:sz w:val="19"/>
          <w:szCs w:val="19"/>
        </w:rPr>
        <w:t xml:space="preserve">(-a) </w:t>
      </w:r>
      <w:r>
        <w:rPr>
          <w:rFonts w:ascii="Cambria" w:hAnsi="Cambria" w:cs="Cambria"/>
          <w:sz w:val="19"/>
          <w:szCs w:val="19"/>
        </w:rPr>
        <w:t>tests based on yielding of the part to be tested.</w:t>
      </w:r>
    </w:p>
    <w:p w:rsidR="000F01FB" w:rsidRDefault="000F01FB" w:rsidP="000F01FB">
      <w:pPr>
        <w:autoSpaceDE w:val="0"/>
        <w:autoSpaceDN w:val="0"/>
        <w:adjustRightInd w:val="0"/>
        <w:spacing w:after="0" w:line="240" w:lineRule="auto"/>
        <w:rPr>
          <w:rFonts w:ascii="Cambria" w:hAnsi="Cambria" w:cs="Cambria"/>
          <w:sz w:val="19"/>
          <w:szCs w:val="19"/>
        </w:rPr>
      </w:pPr>
      <w:r>
        <w:rPr>
          <w:rFonts w:ascii="Cambria" w:hAnsi="Cambria" w:cs="Cambria"/>
          <w:sz w:val="19"/>
          <w:szCs w:val="19"/>
        </w:rPr>
        <w:t>These tests are limited to materials with a ratio of minimum</w:t>
      </w:r>
    </w:p>
    <w:p w:rsidR="000F01FB" w:rsidRDefault="000F01FB" w:rsidP="000F01FB">
      <w:pPr>
        <w:autoSpaceDE w:val="0"/>
        <w:autoSpaceDN w:val="0"/>
        <w:adjustRightInd w:val="0"/>
        <w:spacing w:after="0" w:line="240" w:lineRule="auto"/>
        <w:rPr>
          <w:rFonts w:ascii="Cambria" w:hAnsi="Cambria" w:cs="Cambria"/>
          <w:sz w:val="19"/>
          <w:szCs w:val="19"/>
        </w:rPr>
      </w:pPr>
      <w:proofErr w:type="gramStart"/>
      <w:r>
        <w:rPr>
          <w:rFonts w:ascii="Cambria" w:hAnsi="Cambria" w:cs="Cambria"/>
          <w:sz w:val="19"/>
          <w:szCs w:val="19"/>
        </w:rPr>
        <w:t>specified</w:t>
      </w:r>
      <w:proofErr w:type="gramEnd"/>
      <w:r>
        <w:rPr>
          <w:rFonts w:ascii="Cambria" w:hAnsi="Cambria" w:cs="Cambria"/>
          <w:sz w:val="19"/>
          <w:szCs w:val="19"/>
        </w:rPr>
        <w:t xml:space="preserve"> yield to minimum specified ultimate</w:t>
      </w:r>
    </w:p>
    <w:p w:rsidR="000F01FB" w:rsidRDefault="000F01FB" w:rsidP="000F01FB">
      <w:pPr>
        <w:autoSpaceDE w:val="0"/>
        <w:autoSpaceDN w:val="0"/>
        <w:adjustRightInd w:val="0"/>
        <w:spacing w:after="0" w:line="240" w:lineRule="auto"/>
        <w:rPr>
          <w:rFonts w:ascii="Cambria" w:hAnsi="Cambria" w:cs="Cambria"/>
          <w:sz w:val="19"/>
          <w:szCs w:val="19"/>
        </w:rPr>
      </w:pPr>
      <w:proofErr w:type="gramStart"/>
      <w:r>
        <w:rPr>
          <w:rFonts w:ascii="Cambria" w:hAnsi="Cambria" w:cs="Cambria"/>
          <w:sz w:val="19"/>
          <w:szCs w:val="19"/>
        </w:rPr>
        <w:t>strength</w:t>
      </w:r>
      <w:proofErr w:type="gramEnd"/>
      <w:r>
        <w:rPr>
          <w:rFonts w:ascii="Cambria" w:hAnsi="Cambria" w:cs="Cambria"/>
          <w:sz w:val="19"/>
          <w:szCs w:val="19"/>
        </w:rPr>
        <w:t xml:space="preserve"> of 0.625 or less.</w:t>
      </w:r>
    </w:p>
    <w:p w:rsidR="000F01FB" w:rsidRDefault="000F01FB" w:rsidP="000F01FB">
      <w:pPr>
        <w:autoSpaceDE w:val="0"/>
        <w:autoSpaceDN w:val="0"/>
        <w:adjustRightInd w:val="0"/>
        <w:spacing w:after="0" w:line="240" w:lineRule="auto"/>
        <w:rPr>
          <w:rFonts w:ascii="Cambria" w:hAnsi="Cambria" w:cs="Cambria"/>
          <w:sz w:val="19"/>
          <w:szCs w:val="19"/>
        </w:rPr>
      </w:pPr>
      <w:r>
        <w:rPr>
          <w:rFonts w:ascii="CambriaItalic" w:hAnsi="CambriaItalic" w:cs="CambriaItalic"/>
          <w:i/>
          <w:iCs/>
          <w:sz w:val="19"/>
          <w:szCs w:val="19"/>
        </w:rPr>
        <w:t xml:space="preserve">(-b) </w:t>
      </w:r>
      <w:r>
        <w:rPr>
          <w:rFonts w:ascii="Cambria" w:hAnsi="Cambria" w:cs="Cambria"/>
          <w:sz w:val="19"/>
          <w:szCs w:val="19"/>
        </w:rPr>
        <w:t>tests based on bursting of the part.</w:t>
      </w:r>
    </w:p>
    <w:p w:rsidR="000F01FB" w:rsidRDefault="000F01FB" w:rsidP="000F01FB">
      <w:pPr>
        <w:autoSpaceDE w:val="0"/>
        <w:autoSpaceDN w:val="0"/>
        <w:adjustRightInd w:val="0"/>
        <w:spacing w:after="0" w:line="240" w:lineRule="auto"/>
        <w:rPr>
          <w:rFonts w:ascii="Cambria" w:hAnsi="Cambria" w:cs="Cambria"/>
          <w:sz w:val="19"/>
          <w:szCs w:val="19"/>
        </w:rPr>
      </w:pPr>
      <w:r>
        <w:rPr>
          <w:rFonts w:ascii="CambriaItalic" w:hAnsi="CambriaItalic" w:cs="CambriaItalic"/>
          <w:i/>
          <w:iCs/>
          <w:sz w:val="19"/>
          <w:szCs w:val="19"/>
        </w:rPr>
        <w:t xml:space="preserve">(3) </w:t>
      </w:r>
      <w:r>
        <w:rPr>
          <w:rFonts w:ascii="Cambria" w:hAnsi="Cambria" w:cs="Cambria"/>
          <w:sz w:val="19"/>
          <w:szCs w:val="19"/>
        </w:rPr>
        <w:t>Safety of testing personnel should be given serious</w:t>
      </w:r>
    </w:p>
    <w:p w:rsidR="000F01FB" w:rsidRDefault="000F01FB" w:rsidP="000F01FB">
      <w:pPr>
        <w:autoSpaceDE w:val="0"/>
        <w:autoSpaceDN w:val="0"/>
        <w:adjustRightInd w:val="0"/>
        <w:spacing w:after="0" w:line="240" w:lineRule="auto"/>
        <w:rPr>
          <w:rFonts w:ascii="Cambria" w:hAnsi="Cambria" w:cs="Cambria"/>
          <w:sz w:val="19"/>
          <w:szCs w:val="19"/>
        </w:rPr>
      </w:pPr>
      <w:proofErr w:type="gramStart"/>
      <w:r>
        <w:rPr>
          <w:rFonts w:ascii="Cambria" w:hAnsi="Cambria" w:cs="Cambria"/>
          <w:sz w:val="19"/>
          <w:szCs w:val="19"/>
        </w:rPr>
        <w:t>consideration</w:t>
      </w:r>
      <w:proofErr w:type="gramEnd"/>
      <w:r>
        <w:rPr>
          <w:rFonts w:ascii="Cambria" w:hAnsi="Cambria" w:cs="Cambria"/>
          <w:sz w:val="19"/>
          <w:szCs w:val="19"/>
        </w:rPr>
        <w:t xml:space="preserve"> when conducting proof tests, and particular</w:t>
      </w:r>
    </w:p>
    <w:p w:rsidR="000F01FB" w:rsidRDefault="000F01FB" w:rsidP="000F01FB">
      <w:pPr>
        <w:autoSpaceDE w:val="0"/>
        <w:autoSpaceDN w:val="0"/>
        <w:adjustRightInd w:val="0"/>
        <w:spacing w:after="0" w:line="240" w:lineRule="auto"/>
        <w:rPr>
          <w:rFonts w:ascii="Cambria" w:hAnsi="Cambria" w:cs="Cambria"/>
          <w:sz w:val="19"/>
          <w:szCs w:val="19"/>
        </w:rPr>
      </w:pPr>
      <w:proofErr w:type="gramStart"/>
      <w:r>
        <w:rPr>
          <w:rFonts w:ascii="Cambria" w:hAnsi="Cambria" w:cs="Cambria"/>
          <w:sz w:val="19"/>
          <w:szCs w:val="19"/>
        </w:rPr>
        <w:t>care</w:t>
      </w:r>
      <w:proofErr w:type="gramEnd"/>
      <w:r>
        <w:rPr>
          <w:rFonts w:ascii="Cambria" w:hAnsi="Cambria" w:cs="Cambria"/>
          <w:sz w:val="19"/>
          <w:szCs w:val="19"/>
        </w:rPr>
        <w:t xml:space="preserve"> should be taken during bursting tests in (m)</w:t>
      </w:r>
    </w:p>
    <w:p w:rsidR="000F01FB" w:rsidRDefault="000F01FB" w:rsidP="000F01FB">
      <w:pPr>
        <w:autoSpaceDE w:val="0"/>
        <w:autoSpaceDN w:val="0"/>
        <w:adjustRightInd w:val="0"/>
        <w:spacing w:after="0" w:line="240" w:lineRule="auto"/>
        <w:rPr>
          <w:rFonts w:ascii="Cambria" w:hAnsi="Cambria" w:cs="Cambria"/>
          <w:sz w:val="19"/>
          <w:szCs w:val="19"/>
        </w:rPr>
      </w:pPr>
      <w:proofErr w:type="gramStart"/>
      <w:r>
        <w:rPr>
          <w:rFonts w:ascii="Cambria" w:hAnsi="Cambria" w:cs="Cambria"/>
          <w:sz w:val="19"/>
          <w:szCs w:val="19"/>
        </w:rPr>
        <w:t>below</w:t>
      </w:r>
      <w:proofErr w:type="gramEnd"/>
      <w:r>
        <w:rPr>
          <w:rFonts w:ascii="Cambria" w:hAnsi="Cambria" w:cs="Cambria"/>
          <w:sz w:val="19"/>
          <w:szCs w:val="19"/>
        </w:rPr>
        <w:t>.</w:t>
      </w:r>
    </w:p>
    <w:p w:rsidR="000F01FB" w:rsidRDefault="000F01FB" w:rsidP="000F01FB">
      <w:pPr>
        <w:autoSpaceDE w:val="0"/>
        <w:autoSpaceDN w:val="0"/>
        <w:adjustRightInd w:val="0"/>
        <w:spacing w:after="0" w:line="240" w:lineRule="auto"/>
        <w:rPr>
          <w:rFonts w:ascii="Cambria" w:hAnsi="Cambria" w:cs="Cambria"/>
          <w:sz w:val="19"/>
          <w:szCs w:val="19"/>
        </w:rPr>
      </w:pPr>
      <w:r>
        <w:rPr>
          <w:rFonts w:ascii="CambriaItalic" w:hAnsi="CambriaItalic" w:cs="CambriaItalic"/>
          <w:i/>
          <w:iCs/>
          <w:sz w:val="19"/>
          <w:szCs w:val="19"/>
        </w:rPr>
        <w:t>(4)</w:t>
      </w:r>
      <w:r>
        <w:rPr>
          <w:rFonts w:ascii="Cambria" w:hAnsi="Cambria" w:cs="Cambria"/>
          <w:sz w:val="19"/>
          <w:szCs w:val="19"/>
        </w:rPr>
        <w:t>The Code recognizes that Manufacturers may</w:t>
      </w:r>
    </w:p>
    <w:p w:rsidR="000F01FB" w:rsidRDefault="000F01FB" w:rsidP="000F01FB">
      <w:pPr>
        <w:autoSpaceDE w:val="0"/>
        <w:autoSpaceDN w:val="0"/>
        <w:adjustRightInd w:val="0"/>
        <w:spacing w:after="0" w:line="240" w:lineRule="auto"/>
        <w:rPr>
          <w:rFonts w:ascii="Cambria" w:hAnsi="Cambria" w:cs="Cambria"/>
          <w:sz w:val="19"/>
          <w:szCs w:val="19"/>
        </w:rPr>
      </w:pPr>
      <w:proofErr w:type="gramStart"/>
      <w:r>
        <w:rPr>
          <w:rFonts w:ascii="Cambria" w:hAnsi="Cambria" w:cs="Cambria"/>
          <w:sz w:val="19"/>
          <w:szCs w:val="19"/>
        </w:rPr>
        <w:t>maintain</w:t>
      </w:r>
      <w:proofErr w:type="gramEnd"/>
      <w:r>
        <w:rPr>
          <w:rFonts w:ascii="Cambria" w:hAnsi="Cambria" w:cs="Cambria"/>
          <w:sz w:val="19"/>
          <w:szCs w:val="19"/>
        </w:rPr>
        <w:t xml:space="preserve"> control of proof test reports under different</w:t>
      </w:r>
    </w:p>
    <w:p w:rsidR="000F01FB" w:rsidRDefault="000F01FB" w:rsidP="000F01FB">
      <w:pPr>
        <w:autoSpaceDE w:val="0"/>
        <w:autoSpaceDN w:val="0"/>
        <w:adjustRightInd w:val="0"/>
        <w:spacing w:after="0" w:line="240" w:lineRule="auto"/>
        <w:rPr>
          <w:rFonts w:ascii="Cambria" w:hAnsi="Cambria" w:cs="Cambria"/>
          <w:sz w:val="19"/>
          <w:szCs w:val="19"/>
        </w:rPr>
      </w:pPr>
      <w:proofErr w:type="gramStart"/>
      <w:r>
        <w:rPr>
          <w:rFonts w:ascii="Cambria" w:hAnsi="Cambria" w:cs="Cambria"/>
          <w:sz w:val="19"/>
          <w:szCs w:val="19"/>
        </w:rPr>
        <w:t>ownerships</w:t>
      </w:r>
      <w:proofErr w:type="gramEnd"/>
      <w:r>
        <w:rPr>
          <w:rFonts w:ascii="Cambria" w:hAnsi="Cambria" w:cs="Cambria"/>
          <w:sz w:val="19"/>
          <w:szCs w:val="19"/>
        </w:rPr>
        <w:t xml:space="preserve"> than existed during the original application</w:t>
      </w:r>
    </w:p>
    <w:p w:rsidR="000F01FB" w:rsidRDefault="000F01FB" w:rsidP="000F01FB">
      <w:pPr>
        <w:autoSpaceDE w:val="0"/>
        <w:autoSpaceDN w:val="0"/>
        <w:adjustRightInd w:val="0"/>
        <w:spacing w:after="0" w:line="240" w:lineRule="auto"/>
        <w:rPr>
          <w:rFonts w:ascii="Cambria" w:hAnsi="Cambria" w:cs="Cambria"/>
          <w:sz w:val="19"/>
          <w:szCs w:val="19"/>
        </w:rPr>
      </w:pPr>
      <w:proofErr w:type="gramStart"/>
      <w:r>
        <w:rPr>
          <w:rFonts w:ascii="Cambria" w:hAnsi="Cambria" w:cs="Cambria"/>
          <w:sz w:val="19"/>
          <w:szCs w:val="19"/>
        </w:rPr>
        <w:lastRenderedPageBreak/>
        <w:t>of</w:t>
      </w:r>
      <w:proofErr w:type="gramEnd"/>
      <w:r>
        <w:rPr>
          <w:rFonts w:ascii="Cambria" w:hAnsi="Cambria" w:cs="Cambria"/>
          <w:sz w:val="19"/>
          <w:szCs w:val="19"/>
        </w:rPr>
        <w:t xml:space="preserve"> the proof test. When a Manufacturer is acquired by a</w:t>
      </w:r>
    </w:p>
    <w:p w:rsidR="000F01FB" w:rsidRDefault="000F01FB" w:rsidP="000F01FB">
      <w:pPr>
        <w:autoSpaceDE w:val="0"/>
        <w:autoSpaceDN w:val="0"/>
        <w:adjustRightInd w:val="0"/>
        <w:spacing w:after="0" w:line="240" w:lineRule="auto"/>
        <w:rPr>
          <w:rFonts w:ascii="Cambria" w:hAnsi="Cambria" w:cs="Cambria"/>
          <w:sz w:val="19"/>
          <w:szCs w:val="19"/>
        </w:rPr>
      </w:pPr>
      <w:proofErr w:type="gramStart"/>
      <w:r>
        <w:rPr>
          <w:rFonts w:ascii="Cambria" w:hAnsi="Cambria" w:cs="Cambria"/>
          <w:sz w:val="19"/>
          <w:szCs w:val="19"/>
        </w:rPr>
        <w:t>new</w:t>
      </w:r>
      <w:proofErr w:type="gramEnd"/>
      <w:r>
        <w:rPr>
          <w:rFonts w:ascii="Cambria" w:hAnsi="Cambria" w:cs="Cambria"/>
          <w:sz w:val="19"/>
          <w:szCs w:val="19"/>
        </w:rPr>
        <w:t xml:space="preserve"> owner(s), the proof test reports may be used by</w:t>
      </w:r>
    </w:p>
    <w:p w:rsidR="000F01FB" w:rsidRDefault="000F01FB" w:rsidP="000F01FB">
      <w:pPr>
        <w:autoSpaceDE w:val="0"/>
        <w:autoSpaceDN w:val="0"/>
        <w:adjustRightInd w:val="0"/>
        <w:spacing w:after="0" w:line="240" w:lineRule="auto"/>
        <w:rPr>
          <w:rFonts w:ascii="Cambria" w:hAnsi="Cambria" w:cs="Cambria"/>
          <w:sz w:val="19"/>
          <w:szCs w:val="19"/>
        </w:rPr>
      </w:pPr>
      <w:proofErr w:type="gramStart"/>
      <w:r>
        <w:rPr>
          <w:rFonts w:ascii="Cambria" w:hAnsi="Cambria" w:cs="Cambria"/>
          <w:sz w:val="19"/>
          <w:szCs w:val="19"/>
        </w:rPr>
        <w:t>the</w:t>
      </w:r>
      <w:proofErr w:type="gramEnd"/>
      <w:r>
        <w:rPr>
          <w:rFonts w:ascii="Cambria" w:hAnsi="Cambria" w:cs="Cambria"/>
          <w:sz w:val="19"/>
          <w:szCs w:val="19"/>
        </w:rPr>
        <w:t xml:space="preserve"> new owner(s) without retesting, provided all of the</w:t>
      </w:r>
    </w:p>
    <w:p w:rsidR="000F01FB" w:rsidRDefault="000F01FB" w:rsidP="000F01FB">
      <w:pPr>
        <w:autoSpaceDE w:val="0"/>
        <w:autoSpaceDN w:val="0"/>
        <w:adjustRightInd w:val="0"/>
        <w:spacing w:after="0" w:line="240" w:lineRule="auto"/>
        <w:rPr>
          <w:rFonts w:ascii="Cambria" w:hAnsi="Cambria" w:cs="Cambria"/>
          <w:sz w:val="19"/>
          <w:szCs w:val="19"/>
        </w:rPr>
      </w:pPr>
      <w:proofErr w:type="gramStart"/>
      <w:r>
        <w:rPr>
          <w:rFonts w:ascii="Cambria" w:hAnsi="Cambria" w:cs="Cambria"/>
          <w:sz w:val="19"/>
          <w:szCs w:val="19"/>
        </w:rPr>
        <w:t>following</w:t>
      </w:r>
      <w:proofErr w:type="gramEnd"/>
      <w:r>
        <w:rPr>
          <w:rFonts w:ascii="Cambria" w:hAnsi="Cambria" w:cs="Cambria"/>
          <w:sz w:val="19"/>
          <w:szCs w:val="19"/>
        </w:rPr>
        <w:t xml:space="preserve"> are met:</w:t>
      </w:r>
    </w:p>
    <w:p w:rsidR="000F01FB" w:rsidRDefault="000F01FB" w:rsidP="000F01FB">
      <w:pPr>
        <w:autoSpaceDE w:val="0"/>
        <w:autoSpaceDN w:val="0"/>
        <w:adjustRightInd w:val="0"/>
        <w:spacing w:after="0" w:line="240" w:lineRule="auto"/>
        <w:rPr>
          <w:rFonts w:ascii="Cambria" w:hAnsi="Cambria" w:cs="Cambria"/>
          <w:sz w:val="19"/>
          <w:szCs w:val="19"/>
        </w:rPr>
      </w:pPr>
      <w:r>
        <w:rPr>
          <w:rFonts w:ascii="CambriaItalic" w:hAnsi="CambriaItalic" w:cs="CambriaItalic"/>
          <w:i/>
          <w:iCs/>
          <w:sz w:val="19"/>
          <w:szCs w:val="19"/>
        </w:rPr>
        <w:t xml:space="preserve">(-a) </w:t>
      </w:r>
      <w:r>
        <w:rPr>
          <w:rFonts w:ascii="Cambria" w:hAnsi="Cambria" w:cs="Cambria"/>
          <w:sz w:val="19"/>
          <w:szCs w:val="19"/>
        </w:rPr>
        <w:t>the new owner(s) takes responsibility for the</w:t>
      </w:r>
    </w:p>
    <w:p w:rsidR="000F01FB" w:rsidRDefault="000F01FB" w:rsidP="000F01FB">
      <w:pPr>
        <w:autoSpaceDE w:val="0"/>
        <w:autoSpaceDN w:val="0"/>
        <w:adjustRightInd w:val="0"/>
        <w:spacing w:after="0" w:line="240" w:lineRule="auto"/>
        <w:rPr>
          <w:rFonts w:ascii="Cambria" w:hAnsi="Cambria" w:cs="Cambria"/>
          <w:sz w:val="19"/>
          <w:szCs w:val="19"/>
        </w:rPr>
      </w:pPr>
      <w:proofErr w:type="gramStart"/>
      <w:r>
        <w:rPr>
          <w:rFonts w:ascii="Cambria" w:hAnsi="Cambria" w:cs="Cambria"/>
          <w:sz w:val="19"/>
          <w:szCs w:val="19"/>
        </w:rPr>
        <w:t>proof</w:t>
      </w:r>
      <w:proofErr w:type="gramEnd"/>
      <w:r>
        <w:rPr>
          <w:rFonts w:ascii="Cambria" w:hAnsi="Cambria" w:cs="Cambria"/>
          <w:sz w:val="19"/>
          <w:szCs w:val="19"/>
        </w:rPr>
        <w:t xml:space="preserve"> tests;</w:t>
      </w:r>
    </w:p>
    <w:p w:rsidR="000F01FB" w:rsidRDefault="000F01FB" w:rsidP="000F01FB">
      <w:pPr>
        <w:autoSpaceDE w:val="0"/>
        <w:autoSpaceDN w:val="0"/>
        <w:adjustRightInd w:val="0"/>
        <w:spacing w:after="0" w:line="240" w:lineRule="auto"/>
        <w:rPr>
          <w:rFonts w:ascii="Cambria" w:hAnsi="Cambria" w:cs="Cambria"/>
          <w:sz w:val="19"/>
          <w:szCs w:val="19"/>
        </w:rPr>
      </w:pPr>
      <w:r>
        <w:rPr>
          <w:rFonts w:ascii="CambriaItalic" w:hAnsi="CambriaItalic" w:cs="CambriaItalic"/>
          <w:i/>
          <w:iCs/>
          <w:sz w:val="19"/>
          <w:szCs w:val="19"/>
        </w:rPr>
        <w:t xml:space="preserve">(-b) </w:t>
      </w:r>
      <w:r>
        <w:rPr>
          <w:rFonts w:ascii="Cambria" w:hAnsi="Cambria" w:cs="Cambria"/>
          <w:sz w:val="19"/>
          <w:szCs w:val="19"/>
        </w:rPr>
        <w:t>the Proof Test Reports reflect the name of the</w:t>
      </w:r>
    </w:p>
    <w:p w:rsidR="000F01FB" w:rsidRDefault="000F01FB" w:rsidP="000F01FB">
      <w:pPr>
        <w:autoSpaceDE w:val="0"/>
        <w:autoSpaceDN w:val="0"/>
        <w:adjustRightInd w:val="0"/>
        <w:spacing w:after="0" w:line="240" w:lineRule="auto"/>
        <w:rPr>
          <w:rFonts w:ascii="Cambria" w:hAnsi="Cambria" w:cs="Cambria"/>
          <w:sz w:val="19"/>
          <w:szCs w:val="19"/>
        </w:rPr>
      </w:pPr>
      <w:proofErr w:type="gramStart"/>
      <w:r>
        <w:rPr>
          <w:rFonts w:ascii="Cambria" w:hAnsi="Cambria" w:cs="Cambria"/>
          <w:sz w:val="19"/>
          <w:szCs w:val="19"/>
        </w:rPr>
        <w:t>new</w:t>
      </w:r>
      <w:proofErr w:type="gramEnd"/>
      <w:r>
        <w:rPr>
          <w:rFonts w:ascii="Cambria" w:hAnsi="Cambria" w:cs="Cambria"/>
          <w:sz w:val="19"/>
          <w:szCs w:val="19"/>
        </w:rPr>
        <w:t xml:space="preserve"> owner(s);</w:t>
      </w:r>
    </w:p>
    <w:p w:rsidR="000F01FB" w:rsidRDefault="000F01FB" w:rsidP="000F01FB">
      <w:pPr>
        <w:autoSpaceDE w:val="0"/>
        <w:autoSpaceDN w:val="0"/>
        <w:adjustRightInd w:val="0"/>
        <w:spacing w:after="0" w:line="240" w:lineRule="auto"/>
        <w:rPr>
          <w:rFonts w:ascii="Cambria" w:hAnsi="Cambria" w:cs="Cambria"/>
          <w:sz w:val="19"/>
          <w:szCs w:val="19"/>
        </w:rPr>
      </w:pPr>
      <w:r>
        <w:rPr>
          <w:rFonts w:ascii="CambriaItalic" w:hAnsi="CambriaItalic" w:cs="CambriaItalic"/>
          <w:i/>
          <w:iCs/>
          <w:sz w:val="19"/>
          <w:szCs w:val="19"/>
        </w:rPr>
        <w:t xml:space="preserve">(-c) </w:t>
      </w:r>
      <w:r>
        <w:rPr>
          <w:rFonts w:ascii="Cambria" w:hAnsi="Cambria" w:cs="Cambria"/>
          <w:sz w:val="19"/>
          <w:szCs w:val="19"/>
        </w:rPr>
        <w:t>the Proof Test Reports indicate the actual test</w:t>
      </w:r>
    </w:p>
    <w:p w:rsidR="000F01FB" w:rsidRDefault="000F01FB" w:rsidP="000F01FB">
      <w:pPr>
        <w:autoSpaceDE w:val="0"/>
        <w:autoSpaceDN w:val="0"/>
        <w:adjustRightInd w:val="0"/>
        <w:spacing w:after="0" w:line="240" w:lineRule="auto"/>
        <w:rPr>
          <w:rFonts w:ascii="Cambria" w:hAnsi="Cambria" w:cs="Cambria"/>
          <w:sz w:val="19"/>
          <w:szCs w:val="19"/>
        </w:rPr>
      </w:pPr>
      <w:proofErr w:type="gramStart"/>
      <w:r>
        <w:rPr>
          <w:rFonts w:ascii="Cambria" w:hAnsi="Cambria" w:cs="Cambria"/>
          <w:sz w:val="19"/>
          <w:szCs w:val="19"/>
        </w:rPr>
        <w:t>was</w:t>
      </w:r>
      <w:proofErr w:type="gramEnd"/>
      <w:r>
        <w:rPr>
          <w:rFonts w:ascii="Cambria" w:hAnsi="Cambria" w:cs="Cambria"/>
          <w:sz w:val="19"/>
          <w:szCs w:val="19"/>
        </w:rPr>
        <w:t xml:space="preserve"> performed by the former Manufacturer;</w:t>
      </w:r>
    </w:p>
    <w:p w:rsidR="000F01FB" w:rsidRDefault="000F01FB" w:rsidP="000F01FB">
      <w:pPr>
        <w:autoSpaceDE w:val="0"/>
        <w:autoSpaceDN w:val="0"/>
        <w:adjustRightInd w:val="0"/>
        <w:spacing w:after="0" w:line="240" w:lineRule="auto"/>
        <w:rPr>
          <w:rFonts w:ascii="Cambria" w:hAnsi="Cambria" w:cs="Cambria"/>
          <w:sz w:val="19"/>
          <w:szCs w:val="19"/>
        </w:rPr>
      </w:pPr>
      <w:r>
        <w:rPr>
          <w:rFonts w:ascii="CambriaItalic" w:hAnsi="CambriaItalic" w:cs="CambriaItalic"/>
          <w:i/>
          <w:iCs/>
          <w:sz w:val="19"/>
          <w:szCs w:val="19"/>
        </w:rPr>
        <w:t xml:space="preserve">(-d) </w:t>
      </w:r>
      <w:r>
        <w:rPr>
          <w:rFonts w:ascii="Cambria" w:hAnsi="Cambria" w:cs="Cambria"/>
          <w:sz w:val="19"/>
          <w:szCs w:val="19"/>
        </w:rPr>
        <w:t>the Proof Test Report(s) is acceptable to the</w:t>
      </w:r>
    </w:p>
    <w:p w:rsidR="000F01FB" w:rsidRDefault="000F01FB" w:rsidP="000F01FB">
      <w:pPr>
        <w:autoSpaceDE w:val="0"/>
        <w:autoSpaceDN w:val="0"/>
        <w:adjustRightInd w:val="0"/>
        <w:spacing w:after="0" w:line="240" w:lineRule="auto"/>
        <w:rPr>
          <w:rFonts w:ascii="Cambria" w:hAnsi="Cambria" w:cs="Cambria"/>
          <w:sz w:val="19"/>
          <w:szCs w:val="19"/>
        </w:rPr>
      </w:pPr>
      <w:r>
        <w:rPr>
          <w:rFonts w:ascii="Cambria" w:hAnsi="Cambria" w:cs="Cambria"/>
          <w:sz w:val="19"/>
          <w:szCs w:val="19"/>
        </w:rPr>
        <w:t>Inspector of the new owner(s) as indicated by his/her signature</w:t>
      </w:r>
    </w:p>
    <w:p w:rsidR="000F01FB" w:rsidRDefault="000F01FB" w:rsidP="000F01FB">
      <w:pPr>
        <w:rPr>
          <w:rFonts w:ascii="Cambria" w:hAnsi="Cambria" w:cs="Cambria"/>
          <w:sz w:val="19"/>
          <w:szCs w:val="19"/>
        </w:rPr>
      </w:pPr>
      <w:r>
        <w:rPr>
          <w:rFonts w:ascii="Cambria" w:hAnsi="Cambria" w:cs="Cambria"/>
          <w:noProof/>
          <w:sz w:val="19"/>
          <w:szCs w:val="19"/>
        </w:rPr>
        <mc:AlternateContent>
          <mc:Choice Requires="wps">
            <w:drawing>
              <wp:anchor distT="0" distB="0" distL="114300" distR="114300" simplePos="0" relativeHeight="251659264" behindDoc="0" locked="0" layoutInCell="1" allowOverlap="1">
                <wp:simplePos x="0" y="0"/>
                <wp:positionH relativeFrom="column">
                  <wp:posOffset>2152650</wp:posOffset>
                </wp:positionH>
                <wp:positionV relativeFrom="paragraph">
                  <wp:posOffset>259080</wp:posOffset>
                </wp:positionV>
                <wp:extent cx="1485900" cy="352425"/>
                <wp:effectExtent l="38100" t="57150" r="19050" b="28575"/>
                <wp:wrapNone/>
                <wp:docPr id="1" name="Straight Arrow Connector 1"/>
                <wp:cNvGraphicFramePr/>
                <a:graphic xmlns:a="http://schemas.openxmlformats.org/drawingml/2006/main">
                  <a:graphicData uri="http://schemas.microsoft.com/office/word/2010/wordprocessingShape">
                    <wps:wsp>
                      <wps:cNvCnPr/>
                      <wps:spPr>
                        <a:xfrm flipH="1" flipV="1">
                          <a:off x="0" y="0"/>
                          <a:ext cx="148590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C08E25" id="_x0000_t32" coordsize="21600,21600" o:spt="32" o:oned="t" path="m,l21600,21600e" filled="f">
                <v:path arrowok="t" fillok="f" o:connecttype="none"/>
                <o:lock v:ext="edit" shapetype="t"/>
              </v:shapetype>
              <v:shape id="Straight Arrow Connector 1" o:spid="_x0000_s1026" type="#_x0000_t32" style="position:absolute;margin-left:169.5pt;margin-top:20.4pt;width:117pt;height:27.7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" strokecolor="#5b9bd5 [3204]" strokeweight=".5pt">
                <v:stroke endarrow="block" joinstyle="miter"/>
              </v:shape>
            </w:pict>
          </mc:Fallback>
        </mc:AlternateContent>
      </w:r>
      <w:proofErr w:type="gramStart"/>
      <w:r>
        <w:rPr>
          <w:rFonts w:ascii="Cambria" w:hAnsi="Cambria" w:cs="Cambria"/>
          <w:sz w:val="19"/>
          <w:szCs w:val="19"/>
        </w:rPr>
        <w:t>on</w:t>
      </w:r>
      <w:proofErr w:type="gramEnd"/>
      <w:r>
        <w:rPr>
          <w:rFonts w:ascii="Cambria" w:hAnsi="Cambria" w:cs="Cambria"/>
          <w:sz w:val="19"/>
          <w:szCs w:val="19"/>
        </w:rPr>
        <w:t xml:space="preserve"> the Manufacturer</w:t>
      </w:r>
      <w:r>
        <w:rPr>
          <w:rFonts w:ascii="Cambria+20" w:eastAsia="Cambria+20" w:hAnsi="CambriaItalic" w:cs="Cambria+20" w:hint="eastAsia"/>
          <w:sz w:val="19"/>
          <w:szCs w:val="19"/>
        </w:rPr>
        <w:t>’</w:t>
      </w:r>
      <w:r>
        <w:rPr>
          <w:rFonts w:ascii="Cambria" w:hAnsi="Cambria" w:cs="Cambria"/>
          <w:sz w:val="19"/>
          <w:szCs w:val="19"/>
        </w:rPr>
        <w:t>s report of the test.</w:t>
      </w:r>
    </w:p>
    <w:p w:rsidR="000F01FB" w:rsidRDefault="000F01FB" w:rsidP="000F01FB">
      <w:pPr>
        <w:rPr>
          <w:rFonts w:ascii="Cambria" w:hAnsi="Cambria" w:cs="Cambria"/>
          <w:sz w:val="19"/>
          <w:szCs w:val="19"/>
        </w:rPr>
      </w:pPr>
    </w:p>
    <w:p w:rsidR="003A6017" w:rsidRPr="00B36F33" w:rsidRDefault="003A6017" w:rsidP="003A6017">
      <w:pPr>
        <w:ind w:left="5040" w:firstLine="720"/>
        <w:rPr>
          <w:rFonts w:ascii="Cambria" w:hAnsi="Cambria" w:cs="Cambria"/>
          <w:color w:val="FF0000"/>
          <w:sz w:val="24"/>
          <w:szCs w:val="24"/>
        </w:rPr>
      </w:pPr>
      <w:r w:rsidRPr="00B36F33">
        <w:rPr>
          <w:rFonts w:ascii="Cambria" w:hAnsi="Cambria" w:cs="Cambria"/>
          <w:color w:val="FF0000"/>
          <w:sz w:val="24"/>
          <w:szCs w:val="24"/>
        </w:rPr>
        <w:t xml:space="preserve">Add new para. </w:t>
      </w:r>
      <w:proofErr w:type="gramStart"/>
      <w:r w:rsidRPr="00B36F33">
        <w:rPr>
          <w:rFonts w:ascii="Cambria" w:hAnsi="Cambria" w:cs="Cambria"/>
          <w:color w:val="FF0000"/>
          <w:sz w:val="24"/>
          <w:szCs w:val="24"/>
        </w:rPr>
        <w:t>to</w:t>
      </w:r>
      <w:proofErr w:type="gramEnd"/>
      <w:r w:rsidRPr="00B36F33">
        <w:rPr>
          <w:rFonts w:ascii="Cambria" w:hAnsi="Cambria" w:cs="Cambria"/>
          <w:color w:val="FF0000"/>
          <w:sz w:val="24"/>
          <w:szCs w:val="24"/>
        </w:rPr>
        <w:t xml:space="preserve"> UG-101(a)(5)</w:t>
      </w:r>
    </w:p>
    <w:p w:rsidR="003164E7" w:rsidRDefault="003164E7" w:rsidP="003A6017">
      <w:pPr>
        <w:spacing w:after="0"/>
      </w:pPr>
      <w:r>
        <w:rPr>
          <w:noProof/>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43815</wp:posOffset>
                </wp:positionV>
                <wp:extent cx="6195060" cy="868680"/>
                <wp:effectExtent l="0" t="0" r="15240" b="26670"/>
                <wp:wrapNone/>
                <wp:docPr id="2" name="Text Box 2"/>
                <wp:cNvGraphicFramePr/>
                <a:graphic xmlns:a="http://schemas.openxmlformats.org/drawingml/2006/main">
                  <a:graphicData uri="http://schemas.microsoft.com/office/word/2010/wordprocessingShape">
                    <wps:wsp>
                      <wps:cNvSpPr txBox="1"/>
                      <wps:spPr>
                        <a:xfrm>
                          <a:off x="0" y="0"/>
                          <a:ext cx="6195060" cy="868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4E7" w:rsidRPr="00B36F33" w:rsidRDefault="003164E7" w:rsidP="003164E7">
                            <w:pPr>
                              <w:rPr>
                                <w:rFonts w:ascii="Cambria" w:hAnsi="Cambria" w:cs="Cambria"/>
                                <w:color w:val="FF0000"/>
                                <w:sz w:val="24"/>
                                <w:szCs w:val="24"/>
                              </w:rPr>
                            </w:pPr>
                            <w:r w:rsidRPr="00B36F33">
                              <w:rPr>
                                <w:rFonts w:ascii="Cambria" w:hAnsi="Cambria" w:cs="Cambria"/>
                                <w:color w:val="FF0000"/>
                                <w:sz w:val="24"/>
                                <w:szCs w:val="24"/>
                              </w:rPr>
                              <w:t xml:space="preserve">Below </w:t>
                            </w:r>
                            <w:r>
                              <w:rPr>
                                <w:rFonts w:ascii="Cambria" w:hAnsi="Cambria" w:cs="Cambria"/>
                                <w:color w:val="FF0000"/>
                                <w:sz w:val="24"/>
                                <w:szCs w:val="24"/>
                              </w:rPr>
                              <w:t>Red responds to the</w:t>
                            </w:r>
                            <w:r w:rsidRPr="00B36F33">
                              <w:rPr>
                                <w:rFonts w:ascii="Cambria" w:hAnsi="Cambria" w:cs="Cambria"/>
                                <w:color w:val="FF0000"/>
                                <w:sz w:val="24"/>
                                <w:szCs w:val="24"/>
                              </w:rPr>
                              <w:t xml:space="preserve"> comments </w:t>
                            </w:r>
                            <w:r>
                              <w:rPr>
                                <w:rFonts w:ascii="Cambria" w:hAnsi="Cambria" w:cs="Cambria"/>
                                <w:color w:val="FF0000"/>
                                <w:sz w:val="24"/>
                                <w:szCs w:val="24"/>
                              </w:rPr>
                              <w:t xml:space="preserve">and disapprovals </w:t>
                            </w:r>
                            <w:r w:rsidRPr="00B36F33">
                              <w:rPr>
                                <w:rFonts w:ascii="Cambria" w:hAnsi="Cambria" w:cs="Cambria"/>
                                <w:color w:val="FF0000"/>
                                <w:sz w:val="24"/>
                                <w:szCs w:val="24"/>
                              </w:rPr>
                              <w:t xml:space="preserve">on Ballot </w:t>
                            </w:r>
                            <w:r w:rsidR="00F54879">
                              <w:rPr>
                                <w:rFonts w:ascii="Cambria" w:hAnsi="Cambria" w:cs="Cambria"/>
                                <w:color w:val="FF0000"/>
                                <w:sz w:val="24"/>
                                <w:szCs w:val="24"/>
                              </w:rPr>
                              <w:t>22-727</w:t>
                            </w:r>
                            <w:bookmarkStart w:id="0" w:name="_GoBack"/>
                            <w:bookmarkEnd w:id="0"/>
                            <w:r>
                              <w:rPr>
                                <w:rFonts w:ascii="Cambria" w:hAnsi="Cambria" w:cs="Cambria"/>
                                <w:color w:val="FF0000"/>
                                <w:sz w:val="24"/>
                                <w:szCs w:val="24"/>
                              </w:rPr>
                              <w:t>, except for one negative suggesting that suggested another item be added to the scope of this record to address periodic retesting of proof testing reports, which is not part of the scope of this item.</w:t>
                            </w:r>
                          </w:p>
                          <w:p w:rsidR="003164E7" w:rsidRDefault="00316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5pt;width:487.8pt;height:6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" fillcolor="white [3201]" strokeweight=".5pt">
                <v:textbox>
                  <w:txbxContent>
                    <w:p w:rsidR="003164E7" w:rsidRPr="00B36F33" w:rsidRDefault="003164E7" w:rsidP="003164E7">
                      <w:pPr>
                        <w:rPr>
                          <w:rFonts w:ascii="Cambria" w:hAnsi="Cambria" w:cs="Cambria"/>
                          <w:color w:val="FF0000"/>
                          <w:sz w:val="24"/>
                          <w:szCs w:val="24"/>
                        </w:rPr>
                      </w:pPr>
                      <w:r w:rsidRPr="00B36F33">
                        <w:rPr>
                          <w:rFonts w:ascii="Cambria" w:hAnsi="Cambria" w:cs="Cambria"/>
                          <w:color w:val="FF0000"/>
                          <w:sz w:val="24"/>
                          <w:szCs w:val="24"/>
                        </w:rPr>
                        <w:t xml:space="preserve">Below </w:t>
                      </w:r>
                      <w:r>
                        <w:rPr>
                          <w:rFonts w:ascii="Cambria" w:hAnsi="Cambria" w:cs="Cambria"/>
                          <w:color w:val="FF0000"/>
                          <w:sz w:val="24"/>
                          <w:szCs w:val="24"/>
                        </w:rPr>
                        <w:t>Red responds to the</w:t>
                      </w:r>
                      <w:r w:rsidRPr="00B36F33">
                        <w:rPr>
                          <w:rFonts w:ascii="Cambria" w:hAnsi="Cambria" w:cs="Cambria"/>
                          <w:color w:val="FF0000"/>
                          <w:sz w:val="24"/>
                          <w:szCs w:val="24"/>
                        </w:rPr>
                        <w:t xml:space="preserve"> comments </w:t>
                      </w:r>
                      <w:r>
                        <w:rPr>
                          <w:rFonts w:ascii="Cambria" w:hAnsi="Cambria" w:cs="Cambria"/>
                          <w:color w:val="FF0000"/>
                          <w:sz w:val="24"/>
                          <w:szCs w:val="24"/>
                        </w:rPr>
                        <w:t xml:space="preserve">and disapprovals </w:t>
                      </w:r>
                      <w:r w:rsidRPr="00B36F33">
                        <w:rPr>
                          <w:rFonts w:ascii="Cambria" w:hAnsi="Cambria" w:cs="Cambria"/>
                          <w:color w:val="FF0000"/>
                          <w:sz w:val="24"/>
                          <w:szCs w:val="24"/>
                        </w:rPr>
                        <w:t xml:space="preserve">on Ballot </w:t>
                      </w:r>
                      <w:r w:rsidR="00F54879">
                        <w:rPr>
                          <w:rFonts w:ascii="Cambria" w:hAnsi="Cambria" w:cs="Cambria"/>
                          <w:color w:val="FF0000"/>
                          <w:sz w:val="24"/>
                          <w:szCs w:val="24"/>
                        </w:rPr>
                        <w:t>22-727</w:t>
                      </w:r>
                      <w:bookmarkStart w:id="1" w:name="_GoBack"/>
                      <w:bookmarkEnd w:id="1"/>
                      <w:r>
                        <w:rPr>
                          <w:rFonts w:ascii="Cambria" w:hAnsi="Cambria" w:cs="Cambria"/>
                          <w:color w:val="FF0000"/>
                          <w:sz w:val="24"/>
                          <w:szCs w:val="24"/>
                        </w:rPr>
                        <w:t>, except for one negative suggesting that suggested another item be added to the scope of this record to address periodic retesting of proof testing reports, which is not part of the scope of this item.</w:t>
                      </w:r>
                    </w:p>
                    <w:p w:rsidR="003164E7" w:rsidRDefault="003164E7"/>
                  </w:txbxContent>
                </v:textbox>
              </v:shape>
            </w:pict>
          </mc:Fallback>
        </mc:AlternateContent>
      </w:r>
    </w:p>
    <w:p w:rsidR="003164E7" w:rsidRDefault="003164E7" w:rsidP="003A6017">
      <w:pPr>
        <w:spacing w:after="0"/>
      </w:pPr>
    </w:p>
    <w:p w:rsidR="003164E7" w:rsidRDefault="003164E7" w:rsidP="003A6017">
      <w:pPr>
        <w:spacing w:after="0"/>
      </w:pPr>
    </w:p>
    <w:p w:rsidR="003164E7" w:rsidRDefault="003164E7" w:rsidP="003A6017">
      <w:pPr>
        <w:spacing w:after="0"/>
      </w:pPr>
    </w:p>
    <w:p w:rsidR="003164E7" w:rsidRDefault="003164E7" w:rsidP="003A6017">
      <w:pPr>
        <w:spacing w:after="0"/>
      </w:pPr>
    </w:p>
    <w:p w:rsidR="003164E7" w:rsidRDefault="003164E7" w:rsidP="003A6017">
      <w:pPr>
        <w:spacing w:after="0"/>
      </w:pPr>
    </w:p>
    <w:p w:rsidR="003A6017" w:rsidRDefault="003164E7" w:rsidP="003A6017">
      <w:pPr>
        <w:spacing w:after="0"/>
      </w:pPr>
      <w:r>
        <w:t xml:space="preserve"> </w:t>
      </w:r>
      <w:r w:rsidR="003A6017">
        <w:t xml:space="preserve">(5)  Manufacturers, </w:t>
      </w:r>
      <w:r w:rsidR="003A6017" w:rsidRPr="003A6017">
        <w:t>owned by the same</w:t>
      </w:r>
      <w:r w:rsidR="003A6017" w:rsidRPr="00522803">
        <w:rPr>
          <w:color w:val="FF0000"/>
        </w:rPr>
        <w:t xml:space="preserve"> </w:t>
      </w:r>
      <w:r w:rsidR="003A6017" w:rsidRPr="003A6017">
        <w:t>entity</w:t>
      </w:r>
      <w:r w:rsidR="003A6017">
        <w:t>, may share proof testing report(s</w:t>
      </w:r>
      <w:r w:rsidR="00BC0277">
        <w:t xml:space="preserve">) </w:t>
      </w:r>
      <w:r w:rsidR="003A6017">
        <w:t xml:space="preserve">when </w:t>
      </w:r>
      <w:r w:rsidR="003A6017" w:rsidRPr="0010124D">
        <w:rPr>
          <w:strike/>
          <w:color w:val="FF0000"/>
        </w:rPr>
        <w:t>each</w:t>
      </w:r>
      <w:r w:rsidR="003A6017">
        <w:t xml:space="preserve"> </w:t>
      </w:r>
      <w:r w:rsidR="003A6017" w:rsidRPr="0010124D">
        <w:rPr>
          <w:strike/>
          <w:color w:val="FF0000"/>
        </w:rPr>
        <w:t>Manufacturer meets</w:t>
      </w:r>
      <w:r w:rsidR="003A6017">
        <w:t xml:space="preserve"> the following conditions</w:t>
      </w:r>
      <w:r w:rsidR="0010124D">
        <w:t xml:space="preserve"> </w:t>
      </w:r>
      <w:r w:rsidR="0010124D" w:rsidRPr="0010124D">
        <w:rPr>
          <w:color w:val="FF0000"/>
        </w:rPr>
        <w:t>are met</w:t>
      </w:r>
      <w:r w:rsidR="0010124D">
        <w:t>:</w:t>
      </w:r>
    </w:p>
    <w:p w:rsidR="00BC0277" w:rsidRDefault="00BC0277" w:rsidP="003A6017">
      <w:pPr>
        <w:spacing w:after="0"/>
      </w:pPr>
      <w:r>
        <w:t xml:space="preserve">    </w:t>
      </w:r>
      <w:r w:rsidRPr="00BC0277">
        <w:t xml:space="preserve">(-a) </w:t>
      </w:r>
      <w:r w:rsidR="0010124D" w:rsidRPr="0010124D">
        <w:rPr>
          <w:color w:val="FF0000"/>
        </w:rPr>
        <w:t xml:space="preserve">each Manufacturer </w:t>
      </w:r>
      <w:r>
        <w:t xml:space="preserve">maintains a Quality Control System (see Appendix 10) which shall describe the effective operational control and authority for technical implementation of shared </w:t>
      </w:r>
      <w:r w:rsidRPr="00BC0277">
        <w:t>M</w:t>
      </w:r>
      <w:r>
        <w:t>anufacturer’s p</w:t>
      </w:r>
      <w:r w:rsidRPr="00BA7EDF">
        <w:t xml:space="preserve">roof </w:t>
      </w:r>
      <w:r>
        <w:t>testing reports, fabrication drawings</w:t>
      </w:r>
      <w:r w:rsidRPr="00BA7EDF">
        <w:t xml:space="preserve"> and procedures</w:t>
      </w:r>
      <w:r>
        <w:t xml:space="preserve"> for assembly of the vessel</w:t>
      </w:r>
      <w:r w:rsidRPr="002C1576">
        <w:rPr>
          <w:color w:val="FF0000"/>
        </w:rPr>
        <w:t xml:space="preserve">, </w:t>
      </w:r>
      <w:r>
        <w:t>when necessary;</w:t>
      </w:r>
      <w:r w:rsidR="003A6017">
        <w:tab/>
      </w:r>
    </w:p>
    <w:p w:rsidR="003A6017" w:rsidRDefault="00BC0277" w:rsidP="003A6017">
      <w:pPr>
        <w:spacing w:after="0"/>
      </w:pPr>
      <w:r>
        <w:t xml:space="preserve">    </w:t>
      </w:r>
      <w:r w:rsidRPr="00BC0277">
        <w:t>(</w:t>
      </w:r>
      <w:r w:rsidR="003A6017" w:rsidRPr="00BC0277">
        <w:t xml:space="preserve">-b) </w:t>
      </w:r>
      <w:r w:rsidR="003A6017">
        <w:t xml:space="preserve">fabrication drawings and welding, brazing and bolting procedures used by each Manufacturer are identical to those used to produce the proof </w:t>
      </w:r>
      <w:r w:rsidR="003A6017" w:rsidRPr="00DB639C">
        <w:t>testing report</w:t>
      </w:r>
      <w:r w:rsidR="003A6017">
        <w:t>(s) within the requirements stated in UG-101;</w:t>
      </w:r>
    </w:p>
    <w:p w:rsidR="003A6017" w:rsidRDefault="00BC0277" w:rsidP="003A6017">
      <w:pPr>
        <w:spacing w:after="0"/>
      </w:pPr>
      <w:r>
        <w:t xml:space="preserve">     </w:t>
      </w:r>
      <w:r w:rsidRPr="00BC0277">
        <w:t xml:space="preserve">(-c)  </w:t>
      </w:r>
      <w:r w:rsidR="0010124D" w:rsidRPr="0010124D">
        <w:rPr>
          <w:color w:val="FF0000"/>
        </w:rPr>
        <w:t xml:space="preserve">each Manufacturer </w:t>
      </w:r>
      <w:r w:rsidR="003A6017">
        <w:t xml:space="preserve">takes full responsibility for each shared proof testing report and documents this, indicating the specific proof test performed by the original qualifying Manufacturer and the location where the proof test was performed.  </w:t>
      </w:r>
    </w:p>
    <w:p w:rsidR="003A6017" w:rsidRDefault="00BC0277" w:rsidP="003A6017">
      <w:pPr>
        <w:spacing w:after="0"/>
        <w:rPr>
          <w:strike/>
          <w:color w:val="FF0000"/>
        </w:rPr>
      </w:pPr>
      <w:r w:rsidRPr="00BC0277">
        <w:t xml:space="preserve">    </w:t>
      </w:r>
      <w:r w:rsidR="003A6017" w:rsidRPr="00BC0277">
        <w:t xml:space="preserve"> (-d) </w:t>
      </w:r>
      <w:r w:rsidR="0010124D" w:rsidRPr="0010124D">
        <w:rPr>
          <w:color w:val="FF0000"/>
        </w:rPr>
        <w:t xml:space="preserve">each Manufacturer </w:t>
      </w:r>
      <w:r w:rsidR="003A6017">
        <w:t>submit</w:t>
      </w:r>
      <w:r w:rsidR="0010124D" w:rsidRPr="0010124D">
        <w:rPr>
          <w:color w:val="FF0000"/>
        </w:rPr>
        <w:t>s</w:t>
      </w:r>
      <w:r w:rsidR="0010124D">
        <w:t xml:space="preserve"> </w:t>
      </w:r>
      <w:r w:rsidR="003A6017">
        <w:t>the shared proof test report(s) to the Inspector for acceptance</w:t>
      </w:r>
      <w:r w:rsidR="003A6017" w:rsidRPr="00BC0277">
        <w:t xml:space="preserve">; </w:t>
      </w:r>
    </w:p>
    <w:p w:rsidR="003A6017" w:rsidRDefault="00BC0277" w:rsidP="003A6017">
      <w:pPr>
        <w:spacing w:after="0"/>
      </w:pPr>
      <w:r>
        <w:t xml:space="preserve">     </w:t>
      </w:r>
      <w:r w:rsidR="003A6017">
        <w:t>(-e)</w:t>
      </w:r>
      <w:r w:rsidR="003A6017" w:rsidRPr="003A6017">
        <w:t xml:space="preserve"> </w:t>
      </w:r>
      <w:r w:rsidR="003A6017">
        <w:t>welding and brazing procedures, qualified to ASME Code Section IX, may be qualified at each Manufacturer’s l</w:t>
      </w:r>
      <w:r w:rsidR="0010124D">
        <w:t>ocation, but shall be identical</w:t>
      </w:r>
      <w:r w:rsidR="0010124D" w:rsidRPr="0010124D">
        <w:rPr>
          <w:color w:val="FF0000"/>
        </w:rPr>
        <w:t>, with respect to variables</w:t>
      </w:r>
      <w:r w:rsidR="003164E7">
        <w:rPr>
          <w:color w:val="FF0000"/>
        </w:rPr>
        <w:t xml:space="preserve"> used</w:t>
      </w:r>
      <w:r w:rsidR="0010124D" w:rsidRPr="0010124D">
        <w:rPr>
          <w:color w:val="FF0000"/>
        </w:rPr>
        <w:t xml:space="preserve">, </w:t>
      </w:r>
      <w:r w:rsidR="003A6017">
        <w:t xml:space="preserve">to the procedures used to weld or braze the proof </w:t>
      </w:r>
      <w:r w:rsidRPr="00BC0277">
        <w:t>t</w:t>
      </w:r>
      <w:r w:rsidR="003A6017" w:rsidRPr="00BC0277">
        <w:t>ested</w:t>
      </w:r>
      <w:r w:rsidR="003A6017" w:rsidRPr="00DB639C">
        <w:t xml:space="preserve"> object for a</w:t>
      </w:r>
      <w:r w:rsidR="003A6017">
        <w:t xml:space="preserve"> shared proof testing report.</w:t>
      </w:r>
    </w:p>
    <w:p w:rsidR="00BC0277" w:rsidRDefault="00BC0277" w:rsidP="00BC0277">
      <w:pPr>
        <w:spacing w:after="0"/>
      </w:pPr>
      <w:r>
        <w:t xml:space="preserve">     (-f) whe</w:t>
      </w:r>
      <w:r w:rsidR="00B36F33">
        <w:t>n</w:t>
      </w:r>
      <w:r>
        <w:t xml:space="preserve"> the</w:t>
      </w:r>
      <w:r w:rsidRPr="002C1576">
        <w:rPr>
          <w:color w:val="FF0000"/>
        </w:rPr>
        <w:t xml:space="preserve"> </w:t>
      </w:r>
      <w:r w:rsidRPr="00BC0277">
        <w:t xml:space="preserve">original qualifying </w:t>
      </w:r>
      <w:r>
        <w:t xml:space="preserve">Manufacturer no longer holds a valid ASME U Certificate of Authorization or </w:t>
      </w:r>
      <w:r w:rsidRPr="00DB639C">
        <w:t>has a name change</w:t>
      </w:r>
      <w:r>
        <w:t xml:space="preserve">, the shared Manufacturer’s proof testing </w:t>
      </w:r>
      <w:r w:rsidRPr="00DB639C">
        <w:t>report(s),</w:t>
      </w:r>
      <w:r>
        <w:t xml:space="preserve"> </w:t>
      </w:r>
      <w:r w:rsidRPr="00DB639C">
        <w:t>previously</w:t>
      </w:r>
      <w:r>
        <w:t xml:space="preserve"> been accepted, remain valid;</w:t>
      </w:r>
    </w:p>
    <w:p w:rsidR="00BC0277" w:rsidRDefault="00BC0277" w:rsidP="003A6017">
      <w:pPr>
        <w:spacing w:after="0"/>
      </w:pPr>
    </w:p>
    <w:p w:rsidR="004D36A6" w:rsidRDefault="004D36A6" w:rsidP="004D36A6">
      <w:pPr>
        <w:spacing w:after="0"/>
      </w:pPr>
      <w:r>
        <w:tab/>
      </w:r>
    </w:p>
    <w:p w:rsidR="000F01FB" w:rsidRPr="000F01FB" w:rsidRDefault="000F01FB" w:rsidP="000F01FB">
      <w:pPr>
        <w:rPr>
          <w:color w:val="FF0000"/>
        </w:rPr>
      </w:pPr>
    </w:p>
    <w:sectPr w:rsidR="000F01FB" w:rsidRPr="000F0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nnia-Bold">
    <w:panose1 w:val="00000000000000000000"/>
    <w:charset w:val="00"/>
    <w:family w:val="swiss"/>
    <w:notTrueType/>
    <w:pitch w:val="default"/>
    <w:sig w:usb0="00000003" w:usb1="00000000" w:usb2="00000000" w:usb3="00000000" w:csb0="00000001" w:csb1="00000000"/>
  </w:font>
  <w:font w:name="Cambri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2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FB"/>
    <w:rsid w:val="00027B23"/>
    <w:rsid w:val="000F01FB"/>
    <w:rsid w:val="0010124D"/>
    <w:rsid w:val="002C1576"/>
    <w:rsid w:val="003164E7"/>
    <w:rsid w:val="003A6017"/>
    <w:rsid w:val="004D36A6"/>
    <w:rsid w:val="00505352"/>
    <w:rsid w:val="00522803"/>
    <w:rsid w:val="00A31E8F"/>
    <w:rsid w:val="00B36F33"/>
    <w:rsid w:val="00BC0277"/>
    <w:rsid w:val="00F5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DD861-384D-44B0-B6F2-302CACD0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Bureau Veritas</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PEETZ</dc:creator>
  <cp:keywords/>
  <dc:description/>
  <cp:lastModifiedBy>Darryl PEETZ</cp:lastModifiedBy>
  <cp:revision>3</cp:revision>
  <dcterms:created xsi:type="dcterms:W3CDTF">2022-04-18T22:45:00Z</dcterms:created>
  <dcterms:modified xsi:type="dcterms:W3CDTF">2022-04-27T14:43:00Z</dcterms:modified>
</cp:coreProperties>
</file>